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48" w:rsidRPr="0064057C" w:rsidRDefault="00836DB1" w:rsidP="00C15548">
      <w:pPr>
        <w:spacing w:before="100" w:beforeAutospacing="1" w:after="100" w:afterAutospacing="1" w:line="240" w:lineRule="auto"/>
        <w:outlineLvl w:val="0"/>
        <w:rPr>
          <w:rFonts w:asciiTheme="minorEastAsia" w:hAnsiTheme="minorEastAsia" w:cs="Times New Roman"/>
          <w:b/>
          <w:bCs/>
          <w:kern w:val="36"/>
          <w:sz w:val="48"/>
          <w:szCs w:val="48"/>
          <w:lang w:eastAsia="zh-CN"/>
        </w:rPr>
      </w:pPr>
      <w:bookmarkStart w:id="0" w:name="_GoBack"/>
      <w:bookmarkEnd w:id="0"/>
      <w:r w:rsidRPr="0064057C">
        <w:rPr>
          <w:rFonts w:asciiTheme="minorEastAsia" w:hAnsiTheme="minorEastAsia" w:cs="Times New Roman"/>
          <w:b/>
          <w:bCs/>
          <w:kern w:val="36"/>
          <w:sz w:val="48"/>
          <w:szCs w:val="48"/>
          <w:lang w:eastAsia="zh-CN"/>
        </w:rPr>
        <w:t>腹腔镜胆囊切除术的术前建议</w:t>
      </w:r>
    </w:p>
    <w:p w:rsidR="00C15548" w:rsidRPr="0064057C" w:rsidRDefault="00C15548" w:rsidP="00C15548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  <w:lang w:eastAsia="zh-CN"/>
        </w:rPr>
      </w:pPr>
      <w:r w:rsidRPr="0064057C">
        <w:rPr>
          <w:rFonts w:asciiTheme="minorEastAsia" w:hAnsiTheme="minorEastAsia" w:cs="Times New Roman"/>
          <w:b/>
          <w:bCs/>
          <w:sz w:val="24"/>
          <w:szCs w:val="24"/>
          <w:lang w:eastAsia="zh-CN"/>
        </w:rPr>
        <w:t>腹腔镜胆囊切除术的术前建议</w:t>
      </w:r>
    </w:p>
    <w:p w:rsidR="00C15548" w:rsidRPr="0064057C" w:rsidRDefault="00C15548" w:rsidP="00C15548">
      <w:pPr>
        <w:spacing w:after="240" w:line="240" w:lineRule="auto"/>
        <w:rPr>
          <w:rFonts w:asciiTheme="minorEastAsia" w:hAnsiTheme="minorEastAsia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680"/>
      </w:tblGrid>
      <w:tr w:rsidR="00C15548" w:rsidRPr="0064057C" w:rsidTr="00C1554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1" w:name="_Toc158030674"/>
            <w:r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术前</w:t>
            </w:r>
            <w:bookmarkEnd w:id="1"/>
            <w:r w:rsidR="00B93E25">
              <w:rPr>
                <w:rFonts w:asciiTheme="minorEastAsia" w:hAnsiTheme="minorEastAsia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>建议使用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2" w:name="_Toc158030675"/>
            <w:r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不建议</w:t>
            </w:r>
            <w:bookmarkEnd w:id="2"/>
            <w:r w:rsidR="00B93E25">
              <w:rPr>
                <w:rFonts w:asciiTheme="minorEastAsia" w:hAnsiTheme="minorEastAsia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>使用</w:t>
            </w:r>
          </w:p>
        </w:tc>
      </w:tr>
      <w:tr w:rsidR="00C15548" w:rsidRPr="0064057C" w:rsidTr="00C1554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before="240" w:after="60" w:line="240" w:lineRule="auto"/>
              <w:outlineLvl w:val="1"/>
              <w:rPr>
                <w:rFonts w:asciiTheme="minorEastAsia" w:hAnsiTheme="minorEastAsia" w:cs="Times New Roman"/>
                <w:b/>
                <w:bCs/>
                <w:sz w:val="36"/>
                <w:szCs w:val="36"/>
              </w:rPr>
            </w:pPr>
            <w:bookmarkStart w:id="3" w:name="_Toc158030676"/>
            <w:r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全身镇痛</w:t>
            </w:r>
            <w:bookmarkEnd w:id="3"/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皮质类固醇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地塞米松（</w:t>
            </w:r>
            <w:r w:rsidR="00B93E25"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镇痛</w:t>
            </w:r>
            <w:r w:rsidR="00B93E25">
              <w:rPr>
                <w:rFonts w:asciiTheme="minorEastAsia" w:hAnsiTheme="minorEastAsia" w:cs="Times New Roman" w:hint="eastAsia"/>
                <w:sz w:val="20"/>
                <w:szCs w:val="20"/>
                <w:lang w:eastAsia="zh-CN"/>
              </w:rPr>
              <w:t>作用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B级；</w:t>
            </w:r>
            <w:r w:rsidR="00B93E25"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止吐</w:t>
            </w:r>
            <w:r w:rsidR="00B93E25">
              <w:rPr>
                <w:rFonts w:asciiTheme="minorEastAsia" w:hAnsiTheme="minorEastAsia" w:cs="Times New Roman" w:hint="eastAsia"/>
                <w:sz w:val="20"/>
                <w:szCs w:val="20"/>
                <w:lang w:eastAsia="zh-CN"/>
              </w:rPr>
              <w:t>作用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A级）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108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COX-2-选择性抑制剂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（B级）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加巴喷丁类</w:t>
            </w:r>
            <w:r w:rsidR="00B93E2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药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物 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加巴喷丁（B级）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10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10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before="240" w:after="60" w:line="240" w:lineRule="auto"/>
              <w:outlineLvl w:val="1"/>
              <w:rPr>
                <w:rFonts w:asciiTheme="minorEastAsia" w:hAnsiTheme="minorEastAsia" w:cs="Times New Roman"/>
                <w:b/>
                <w:bCs/>
                <w:sz w:val="36"/>
                <w:szCs w:val="36"/>
              </w:rPr>
            </w:pPr>
            <w:bookmarkStart w:id="4" w:name="_Toc158030677"/>
            <w:r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全身镇痛</w:t>
            </w:r>
            <w:bookmarkEnd w:id="4"/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Alpha-2-肾上腺素受体激动剂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可乐定（D级）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B93E25" w:rsidP="00C15548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传统</w:t>
            </w:r>
            <w:r w:rsidR="00C15548"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非甾体抗炎药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（B级）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静脉局麻</w:t>
            </w:r>
            <w:r w:rsidR="00B93E2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药物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 xml:space="preserve">         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（D级）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NMDA拮抗剂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右美沙芬（D级）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氯胺酮（D级）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镁（B级）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强</w:t>
            </w:r>
            <w:r w:rsidR="00B93E2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效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阿片类药物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强阿片类药物（B级）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108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弱</w:t>
            </w:r>
            <w:r w:rsidR="00B93E2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效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阿片类药物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曲马多（B级）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扑热息痛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–（B级）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before="240" w:after="60" w:line="240" w:lineRule="auto"/>
              <w:outlineLvl w:val="1"/>
              <w:rPr>
                <w:rFonts w:asciiTheme="minorEastAsia" w:hAnsiTheme="minorEastAsia" w:cs="Times New Roman"/>
                <w:b/>
                <w:bCs/>
                <w:sz w:val="36"/>
                <w:szCs w:val="36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</w:tc>
      </w:tr>
      <w:tr w:rsidR="00C15548" w:rsidRPr="0064057C" w:rsidTr="00C15548"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B93E25" w:rsidP="00C15548">
            <w:pPr>
              <w:spacing w:before="240" w:after="60" w:line="240" w:lineRule="auto"/>
              <w:outlineLvl w:val="1"/>
              <w:rPr>
                <w:rFonts w:asciiTheme="minorEastAsia" w:hAnsiTheme="minorEastAsia" w:cs="Times New Roman"/>
                <w:b/>
                <w:bCs/>
                <w:sz w:val="36"/>
                <w:szCs w:val="36"/>
              </w:rPr>
            </w:pPr>
            <w:bookmarkStart w:id="5" w:name="_Toc158030678"/>
            <w:r>
              <w:rPr>
                <w:rFonts w:asciiTheme="minorEastAsia" w:hAnsiTheme="minorEastAsia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>区域</w:t>
            </w:r>
            <w:r w:rsidR="00C15548"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镇痛</w:t>
            </w:r>
            <w:bookmarkEnd w:id="5"/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局部麻醉伤口浸润 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长效局麻</w:t>
            </w:r>
            <w:r w:rsidR="00B93E25">
              <w:rPr>
                <w:rFonts w:asciiTheme="minorEastAsia" w:hAnsiTheme="minorEastAsia" w:cs="Times New Roman" w:hint="eastAsia"/>
                <w:sz w:val="20"/>
                <w:szCs w:val="20"/>
                <w:lang w:eastAsia="zh-CN"/>
              </w:rPr>
              <w:t>药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伤口浸润（A级），用于减轻伤口疼痛，但不能减轻肩痛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硬膜外镇痛 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高风险肺病患者（D级）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B93E25" w:rsidP="00C15548">
            <w:pPr>
              <w:spacing w:before="240" w:after="60" w:line="240" w:lineRule="auto"/>
              <w:outlineLvl w:val="1"/>
              <w:rPr>
                <w:rFonts w:asciiTheme="minorEastAsia" w:hAnsiTheme="minorEastAsia" w:cs="Times New Roman"/>
                <w:b/>
                <w:bCs/>
                <w:sz w:val="36"/>
                <w:szCs w:val="36"/>
              </w:rPr>
            </w:pPr>
            <w:bookmarkStart w:id="6" w:name="_Toc158030679"/>
            <w:r>
              <w:rPr>
                <w:rFonts w:asciiTheme="minorEastAsia" w:hAnsiTheme="minorEastAsia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>区域</w:t>
            </w:r>
            <w:r w:rsidR="00C15548"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镇痛</w:t>
            </w:r>
            <w:bookmarkEnd w:id="6"/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椎旁阻滞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–（D级）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B93E25" w:rsidP="00C15548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腰麻</w:t>
            </w:r>
            <w:r w:rsidR="00C15548"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+强阿片类药物</w:t>
            </w:r>
            <w:r w:rsidR="00C15548"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 xml:space="preserve"> 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（D级）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硬膜外镇痛 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高危肺病患者除外（D级）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108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C15548" w:rsidRPr="0064057C" w:rsidTr="00C15548"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before="240" w:after="60" w:line="240" w:lineRule="auto"/>
              <w:outlineLvl w:val="1"/>
              <w:rPr>
                <w:rFonts w:asciiTheme="minorEastAsia" w:hAnsiTheme="minorEastAsia" w:cs="Times New Roman"/>
                <w:b/>
                <w:bCs/>
                <w:sz w:val="36"/>
                <w:szCs w:val="36"/>
                <w:lang w:eastAsia="zh-CN"/>
              </w:rPr>
            </w:pPr>
            <w:r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C15548" w:rsidRPr="0064057C" w:rsidRDefault="00C15548" w:rsidP="00C15548">
            <w:pPr>
              <w:spacing w:before="240" w:after="60" w:line="240" w:lineRule="auto"/>
              <w:outlineLvl w:val="1"/>
              <w:rPr>
                <w:rFonts w:asciiTheme="minorEastAsia" w:hAnsiTheme="minorEastAsia" w:cs="Times New Roman"/>
                <w:b/>
                <w:bCs/>
                <w:sz w:val="36"/>
                <w:szCs w:val="36"/>
              </w:rPr>
            </w:pPr>
            <w:bookmarkStart w:id="7" w:name="_Toc158030680"/>
            <w:r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lastRenderedPageBreak/>
              <w:t>其他</w:t>
            </w:r>
            <w:r w:rsidR="00B93E25">
              <w:rPr>
                <w:rFonts w:asciiTheme="minorEastAsia" w:hAnsiTheme="minorEastAsia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>治疗措施</w:t>
            </w:r>
            <w:bookmarkEnd w:id="7"/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口服碳水化合物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 xml:space="preserve"> 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–（D级）</w:t>
            </w: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15548" w:rsidRPr="0064057C" w:rsidRDefault="00C15548" w:rsidP="00C15548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</w:tc>
      </w:tr>
    </w:tbl>
    <w:p w:rsidR="000649CE" w:rsidRPr="0064057C" w:rsidRDefault="000649CE">
      <w:pPr>
        <w:rPr>
          <w:rFonts w:asciiTheme="minorEastAsia" w:hAnsiTheme="minorEastAsia"/>
        </w:rPr>
      </w:pPr>
    </w:p>
    <w:p w:rsidR="00836DB1" w:rsidRPr="0064057C" w:rsidRDefault="00836DB1">
      <w:pPr>
        <w:rPr>
          <w:rFonts w:asciiTheme="minorEastAsia" w:hAnsiTheme="minorEastAsia"/>
        </w:rPr>
      </w:pPr>
    </w:p>
    <w:p w:rsidR="00836DB1" w:rsidRPr="0064057C" w:rsidRDefault="00836DB1" w:rsidP="00836DB1">
      <w:pPr>
        <w:spacing w:before="100" w:beforeAutospacing="1" w:after="100" w:afterAutospacing="1" w:line="240" w:lineRule="auto"/>
        <w:outlineLvl w:val="0"/>
        <w:rPr>
          <w:rFonts w:asciiTheme="minorEastAsia" w:hAnsiTheme="minorEastAsia" w:cs="Times New Roman"/>
          <w:b/>
          <w:bCs/>
          <w:kern w:val="36"/>
          <w:sz w:val="48"/>
          <w:szCs w:val="48"/>
          <w:lang w:eastAsia="zh-CN"/>
        </w:rPr>
      </w:pPr>
      <w:r w:rsidRPr="0064057C">
        <w:rPr>
          <w:rFonts w:asciiTheme="minorEastAsia" w:hAnsiTheme="minorEastAsia" w:cs="Times New Roman"/>
          <w:b/>
          <w:bCs/>
          <w:kern w:val="36"/>
          <w:sz w:val="48"/>
          <w:szCs w:val="48"/>
          <w:lang w:eastAsia="zh-CN"/>
        </w:rPr>
        <w:t>腹腔镜胆囊切除术的术中建议</w:t>
      </w:r>
    </w:p>
    <w:p w:rsidR="00836DB1" w:rsidRPr="0064057C" w:rsidRDefault="00836DB1" w:rsidP="00836DB1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  <w:lang w:eastAsia="zh-CN"/>
        </w:rPr>
      </w:pPr>
      <w:r w:rsidRPr="0064057C">
        <w:rPr>
          <w:rFonts w:asciiTheme="minorEastAsia" w:hAnsiTheme="minorEastAsia" w:cs="Times New Roman"/>
          <w:b/>
          <w:bCs/>
          <w:sz w:val="24"/>
          <w:szCs w:val="24"/>
          <w:lang w:eastAsia="zh-CN"/>
        </w:rPr>
        <w:t>腹腔镜胆囊切除术的术中建议</w:t>
      </w:r>
    </w:p>
    <w:p w:rsidR="00836DB1" w:rsidRPr="0064057C" w:rsidRDefault="00836DB1" w:rsidP="00836DB1">
      <w:pPr>
        <w:spacing w:after="0" w:line="240" w:lineRule="auto"/>
        <w:rPr>
          <w:rFonts w:asciiTheme="minorEastAsia" w:hAnsiTheme="minorEastAsia" w:cs="Times New Roman"/>
          <w:sz w:val="24"/>
          <w:szCs w:val="24"/>
          <w:lang w:eastAsia="zh-CN"/>
        </w:rPr>
      </w:pPr>
    </w:p>
    <w:p w:rsidR="00836DB1" w:rsidRPr="0064057C" w:rsidRDefault="00836DB1" w:rsidP="00836DB1">
      <w:pPr>
        <w:spacing w:after="240" w:line="240" w:lineRule="auto"/>
        <w:rPr>
          <w:rFonts w:asciiTheme="minorEastAsia" w:hAnsiTheme="minorEastAsia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680"/>
      </w:tblGrid>
      <w:tr w:rsidR="00836DB1" w:rsidRPr="0064057C" w:rsidTr="00836DB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64057C" w:rsidRDefault="00836DB1" w:rsidP="00836DB1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8" w:name="_Toc158030681"/>
            <w:r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术中</w:t>
            </w:r>
            <w:bookmarkEnd w:id="8"/>
            <w:r w:rsidR="00B93E25"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建议</w:t>
            </w:r>
            <w:r w:rsidR="00B93E25">
              <w:rPr>
                <w:rFonts w:asciiTheme="minorEastAsia" w:hAnsiTheme="minorEastAsia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>使</w:t>
            </w:r>
            <w:r w:rsidR="00B93E25"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用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9" w:name="_Toc158030682"/>
            <w:r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不建议</w:t>
            </w:r>
            <w:bookmarkEnd w:id="9"/>
            <w:r w:rsidR="00B93E25">
              <w:rPr>
                <w:rFonts w:asciiTheme="minorEastAsia" w:hAnsiTheme="minorEastAsia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>使用</w:t>
            </w:r>
          </w:p>
        </w:tc>
      </w:tr>
      <w:tr w:rsidR="00836DB1" w:rsidRPr="0064057C" w:rsidTr="00836DB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全身镇痛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B93E25" w:rsidP="00836DB1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传统</w:t>
            </w:r>
            <w:r w:rsidR="00836DB1"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非甾体抗炎药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 xml:space="preserve">手术结束时（D级）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ind w:left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COX-2-选择性抑制剂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 xml:space="preserve">         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 xml:space="preserve">（D级）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短效强效阿片类药物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作为麻醉技术的一部分（D级）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全身镇痛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NMDA拮抗剂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右美沙芬（D级）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氯胺酮输注（D级）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镁输</w:t>
            </w:r>
            <w:r w:rsidR="00B93E25"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注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（B级）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ind w:left="10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强</w:t>
            </w:r>
            <w:r w:rsidR="00B93E2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效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阿片类药物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长效强效阿片类药物（B级）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836DB1" w:rsidRPr="0064057C" w:rsidTr="00836DB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B93E25" w:rsidP="00836DB1">
            <w:pPr>
              <w:spacing w:before="240" w:after="60" w:line="240" w:lineRule="auto"/>
              <w:outlineLvl w:val="1"/>
              <w:rPr>
                <w:rFonts w:asciiTheme="minorEastAsia" w:hAnsiTheme="minorEastAsia" w:cs="Times New Roman"/>
                <w:b/>
                <w:bCs/>
                <w:sz w:val="36"/>
                <w:szCs w:val="36"/>
              </w:rPr>
            </w:pPr>
            <w:bookmarkStart w:id="10" w:name="_Toc158030685"/>
            <w:r>
              <w:rPr>
                <w:rFonts w:asciiTheme="minorEastAsia" w:hAnsiTheme="minorEastAsia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>区域</w:t>
            </w:r>
            <w:r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镇痛</w:t>
            </w:r>
            <w:bookmarkEnd w:id="10"/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局麻</w:t>
            </w:r>
            <w:r w:rsidR="00B93E2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药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伤口浸润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ind w:left="108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长效局麻</w:t>
            </w:r>
            <w:r w:rsidR="00537CC5">
              <w:rPr>
                <w:rFonts w:asciiTheme="minorEastAsia" w:hAnsiTheme="minorEastAsia" w:cs="Times New Roman" w:hint="eastAsia"/>
                <w:sz w:val="20"/>
                <w:szCs w:val="20"/>
                <w:lang w:eastAsia="zh-CN"/>
              </w:rPr>
              <w:t>药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伤口浸润（A级），用于减轻伤口疼痛，但不能减轻肩痛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腹</w:t>
            </w:r>
            <w:r w:rsidR="00537CC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腔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内局麻</w:t>
            </w:r>
            <w:r w:rsidR="00537CC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药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腹</w:t>
            </w:r>
            <w:r w:rsidR="00537CC5">
              <w:rPr>
                <w:rFonts w:asciiTheme="minorEastAsia" w:hAnsiTheme="minorEastAsia" w:cs="Times New Roman" w:hint="eastAsia"/>
                <w:sz w:val="20"/>
                <w:szCs w:val="20"/>
                <w:lang w:eastAsia="zh-CN"/>
              </w:rPr>
              <w:t>腔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内局麻</w:t>
            </w:r>
            <w:r w:rsidR="00537CC5">
              <w:rPr>
                <w:rFonts w:asciiTheme="minorEastAsia" w:hAnsiTheme="minorEastAsia" w:cs="Times New Roman" w:hint="eastAsia"/>
                <w:sz w:val="20"/>
                <w:szCs w:val="20"/>
                <w:lang w:eastAsia="zh-CN"/>
              </w:rPr>
              <w:t>药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（A级），用于减轻伤口疼痛，但不能减轻肩痛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联合使用局麻</w:t>
            </w:r>
            <w:r w:rsidR="00537CC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药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伤口浸润/腹</w:t>
            </w:r>
            <w:r w:rsidR="00537CC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腔内用药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（A级；剂量需要</w:t>
            </w:r>
            <w:r w:rsidR="00537CC5"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毒性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监测D级）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B93E25" w:rsidP="00836DB1">
            <w:pPr>
              <w:spacing w:before="240" w:after="60" w:line="240" w:lineRule="auto"/>
              <w:outlineLvl w:val="1"/>
              <w:rPr>
                <w:rFonts w:asciiTheme="minorEastAsia" w:hAnsiTheme="minorEastAsia" w:cs="Times New Roman"/>
                <w:b/>
                <w:bCs/>
                <w:sz w:val="36"/>
                <w:szCs w:val="36"/>
              </w:rPr>
            </w:pPr>
            <w:bookmarkStart w:id="11" w:name="_Toc158030686"/>
            <w:r>
              <w:rPr>
                <w:rFonts w:asciiTheme="minorEastAsia" w:hAnsiTheme="minorEastAsia" w:cs="Arial" w:hint="eastAsia"/>
                <w:b/>
                <w:bCs/>
                <w:i/>
                <w:iCs/>
                <w:sz w:val="20"/>
                <w:szCs w:val="20"/>
                <w:lang w:eastAsia="zh-CN"/>
              </w:rPr>
              <w:t>区域</w:t>
            </w:r>
            <w:r w:rsidRPr="0064057C">
              <w:rPr>
                <w:rFonts w:asciiTheme="minorEastAsia" w:hAnsiTheme="minorEastAsia" w:cs="Arial"/>
                <w:b/>
                <w:bCs/>
                <w:i/>
                <w:iCs/>
                <w:sz w:val="20"/>
                <w:szCs w:val="20"/>
                <w:lang w:eastAsia="zh-CN"/>
              </w:rPr>
              <w:t>镇痛</w:t>
            </w:r>
            <w:bookmarkEnd w:id="11"/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肾上腺素作为局麻</w:t>
            </w:r>
            <w:r w:rsidR="00537CC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药制剂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的一部分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 xml:space="preserve">         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（B级）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ind w:left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腹</w:t>
            </w:r>
            <w:r w:rsidR="00537CC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腔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内强</w:t>
            </w:r>
            <w:r w:rsidR="00537CC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效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阿片类药物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 xml:space="preserve">         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（D级）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ind w:left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27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胸</w:t>
            </w:r>
            <w:r w:rsidR="00537CC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腔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内局部麻醉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 xml:space="preserve">         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（B级）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胸</w:t>
            </w:r>
            <w:r w:rsidR="00537CC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腔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内强</w:t>
            </w:r>
            <w:r w:rsidR="00537CC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效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阿片类药物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 xml:space="preserve">         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（B级）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836DB1" w:rsidRPr="0064057C" w:rsidTr="00836DB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lastRenderedPageBreak/>
              <w:t>麻醉技术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全身麻醉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ind w:left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联合使用硬膜外/全身麻醉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 xml:space="preserve">用于高危肺病患者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br/>
              <w:t>（D级）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ind w:left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lastRenderedPageBreak/>
              <w:t>麻醉技术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联合使用硬膜外/全身麻醉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用于</w:t>
            </w:r>
            <w:r w:rsidR="00537CC5">
              <w:rPr>
                <w:rFonts w:asciiTheme="minorEastAsia" w:hAnsiTheme="minorEastAsia" w:cs="Times New Roman" w:hint="eastAsia"/>
                <w:sz w:val="20"/>
                <w:szCs w:val="20"/>
                <w:lang w:eastAsia="zh-CN"/>
              </w:rPr>
              <w:t>普通病人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 xml:space="preserve">麻醉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br/>
              <w:t>（D级）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 </w:t>
            </w:r>
          </w:p>
        </w:tc>
      </w:tr>
      <w:tr w:rsidR="00836DB1" w:rsidRPr="0064057C" w:rsidTr="00836DB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537CC5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i/>
                <w:iCs/>
                <w:sz w:val="20"/>
                <w:szCs w:val="20"/>
                <w:lang w:eastAsia="zh-CN"/>
              </w:rPr>
              <w:t>手术</w:t>
            </w:r>
            <w:r w:rsidR="00836DB1"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操作技术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低二氧化碳</w:t>
            </w:r>
            <w:r w:rsidR="00537CC5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压力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 xml:space="preserve">         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（A级）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生理盐水灌洗，然后抽吸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 xml:space="preserve">         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（A级）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before="240" w:after="60" w:line="240" w:lineRule="auto"/>
              <w:outlineLvl w:val="1"/>
              <w:rPr>
                <w:rFonts w:asciiTheme="minorEastAsia" w:hAnsiTheme="minorEastAsia" w:cs="Times New Roman"/>
                <w:b/>
                <w:bCs/>
                <w:sz w:val="36"/>
                <w:szCs w:val="36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操作技术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34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无气腹腔镜胆囊切除术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 xml:space="preserve">         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（A级）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ind w:left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35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加湿和加热二氧化碳气腹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 xml:space="preserve">          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（分别为D和A级）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一氧化二氮气腹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–（D级）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氦气气腹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–（B级）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38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小</w:t>
            </w:r>
            <w:r w:rsidR="009C19FE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号</w:t>
            </w: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套管</w:t>
            </w:r>
            <w:r w:rsidR="009C19FE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刀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 xml:space="preserve">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 w:cs="Times New Roman"/>
                <w:sz w:val="14"/>
                <w:szCs w:val="14"/>
                <w:lang w:eastAsia="zh-CN"/>
              </w:rPr>
              <w:t>  </w:t>
            </w: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（D级）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9C19FE" w:rsidP="00836DB1">
            <w:pPr>
              <w:numPr>
                <w:ilvl w:val="0"/>
                <w:numId w:val="39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极度</w:t>
            </w:r>
            <w:r w:rsidR="00836DB1"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扩张套管</w:t>
            </w: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刀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–（D级）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numPr>
                <w:ilvl w:val="0"/>
                <w:numId w:val="40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肝下引流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–（D级）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spacing w:after="0" w:afterAutospacing="1" w:line="240" w:lineRule="auto"/>
              <w:ind w:left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9C19FE" w:rsidP="00836DB1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抽吸</w:t>
            </w:r>
            <w:r w:rsidR="00836DB1" w:rsidRPr="0064057C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 xml:space="preserve">气腹气体 </w:t>
            </w:r>
          </w:p>
          <w:p w:rsidR="00836DB1" w:rsidRPr="0064057C" w:rsidRDefault="00836DB1" w:rsidP="00836DB1">
            <w:pPr>
              <w:spacing w:beforeAutospacing="1" w:after="0" w:afterAutospacing="1"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36DB1" w:rsidRPr="0064057C" w:rsidRDefault="00836DB1" w:rsidP="00836DB1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057C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–（D级）</w:t>
            </w:r>
          </w:p>
        </w:tc>
      </w:tr>
    </w:tbl>
    <w:p w:rsidR="00836DB1" w:rsidRPr="0064057C" w:rsidRDefault="00836DB1">
      <w:pPr>
        <w:rPr>
          <w:rFonts w:asciiTheme="minorEastAsia" w:hAnsiTheme="minorEastAsia"/>
        </w:rPr>
      </w:pPr>
    </w:p>
    <w:p w:rsidR="00836DB1" w:rsidRPr="0064057C" w:rsidRDefault="00836DB1">
      <w:pPr>
        <w:rPr>
          <w:rFonts w:asciiTheme="minorEastAsia" w:hAnsiTheme="minorEastAsia"/>
        </w:rPr>
      </w:pPr>
    </w:p>
    <w:p w:rsidR="00836DB1" w:rsidRPr="0064057C" w:rsidRDefault="00836DB1" w:rsidP="00836DB1">
      <w:pPr>
        <w:pStyle w:val="Kop1"/>
        <w:rPr>
          <w:rFonts w:asciiTheme="minorEastAsia" w:eastAsiaTheme="minorEastAsia" w:hAnsiTheme="minorEastAsia"/>
          <w:lang w:eastAsia="zh-CN"/>
        </w:rPr>
      </w:pPr>
      <w:r w:rsidRPr="0064057C">
        <w:rPr>
          <w:rFonts w:asciiTheme="minorEastAsia" w:eastAsiaTheme="minorEastAsia" w:hAnsiTheme="minorEastAsia"/>
          <w:lang w:eastAsia="zh-CN"/>
        </w:rPr>
        <w:t>腹腔镜胆囊切除术的术后建议</w:t>
      </w:r>
    </w:p>
    <w:p w:rsidR="00836DB1" w:rsidRPr="0064057C" w:rsidRDefault="00836DB1" w:rsidP="00836DB1">
      <w:pPr>
        <w:pStyle w:val="Normaalweb"/>
        <w:rPr>
          <w:rFonts w:asciiTheme="minorEastAsia" w:eastAsiaTheme="minorEastAsia" w:hAnsiTheme="minorEastAsia"/>
          <w:lang w:eastAsia="zh-CN"/>
        </w:rPr>
      </w:pPr>
      <w:r w:rsidRPr="0064057C">
        <w:rPr>
          <w:rStyle w:val="Zwaar"/>
          <w:rFonts w:asciiTheme="minorEastAsia" w:eastAsiaTheme="minorEastAsia" w:hAnsiTheme="minorEastAsia"/>
          <w:lang w:eastAsia="zh-CN"/>
        </w:rPr>
        <w:t>腹腔镜胆囊切除术的术后建议</w:t>
      </w:r>
    </w:p>
    <w:p w:rsidR="00836DB1" w:rsidRPr="0064057C" w:rsidRDefault="00836DB1" w:rsidP="00836DB1">
      <w:pPr>
        <w:rPr>
          <w:rFonts w:asciiTheme="minorEastAsia" w:hAnsiTheme="minorEastAsia"/>
          <w:lang w:eastAsia="zh-CN"/>
        </w:rPr>
      </w:pPr>
    </w:p>
    <w:p w:rsidR="00836DB1" w:rsidRPr="0064057C" w:rsidRDefault="00836DB1" w:rsidP="00836DB1">
      <w:pPr>
        <w:pStyle w:val="Normaalweb"/>
        <w:rPr>
          <w:rFonts w:asciiTheme="minorEastAsia" w:eastAsiaTheme="minorEastAsia" w:hAnsiTheme="minorEastAsia"/>
          <w:lang w:eastAsia="zh-CN"/>
        </w:rPr>
      </w:pPr>
    </w:p>
    <w:p w:rsidR="00836DB1" w:rsidRPr="0064057C" w:rsidRDefault="00836DB1" w:rsidP="00836DB1">
      <w:pPr>
        <w:spacing w:after="240"/>
        <w:rPr>
          <w:rFonts w:asciiTheme="minorEastAsia" w:hAnsiTheme="minor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4"/>
        <w:gridCol w:w="4366"/>
      </w:tblGrid>
      <w:tr w:rsidR="00836DB1" w:rsidRPr="0064057C" w:rsidTr="00836DB1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64057C" w:rsidRDefault="00836DB1">
            <w:pPr>
              <w:spacing w:before="100" w:beforeAutospacing="1" w:after="100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pStyle w:val="Kop1"/>
              <w:spacing w:before="240" w:beforeAutospacing="0" w:after="60" w:afterAutospacing="0"/>
              <w:rPr>
                <w:rFonts w:asciiTheme="minorEastAsia" w:eastAsiaTheme="minorEastAsia" w:hAnsiTheme="minorEastAsia"/>
              </w:rPr>
            </w:pPr>
            <w:bookmarkStart w:id="12" w:name="_Toc158030688"/>
            <w:bookmarkStart w:id="13" w:name="_Toc143105163"/>
            <w:r w:rsidRPr="0064057C">
              <w:rPr>
                <w:rStyle w:val="Nadruk"/>
                <w:rFonts w:asciiTheme="minorEastAsia" w:eastAsiaTheme="minorEastAsia" w:hAnsiTheme="minorEastAsia"/>
                <w:sz w:val="20"/>
                <w:szCs w:val="20"/>
                <w:lang w:eastAsia="zh-CN"/>
              </w:rPr>
              <w:t> 术后</w:t>
            </w:r>
            <w:bookmarkEnd w:id="12"/>
            <w:bookmarkEnd w:id="13"/>
            <w:r w:rsidR="009C19FE" w:rsidRPr="0064057C">
              <w:rPr>
                <w:rStyle w:val="Nadruk"/>
                <w:rFonts w:asciiTheme="minorEastAsia" w:eastAsiaTheme="minorEastAsia" w:hAnsiTheme="minorEastAsia"/>
                <w:sz w:val="20"/>
                <w:szCs w:val="20"/>
                <w:lang w:eastAsia="zh-CN"/>
              </w:rPr>
              <w:t>建议</w:t>
            </w:r>
            <w:r w:rsidR="009C19FE">
              <w:rPr>
                <w:rStyle w:val="Nadruk"/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使</w:t>
            </w:r>
            <w:r w:rsidR="009C19FE" w:rsidRPr="0064057C">
              <w:rPr>
                <w:rStyle w:val="Nadruk"/>
                <w:rFonts w:asciiTheme="minorEastAsia" w:eastAsiaTheme="minorEastAsia" w:hAnsiTheme="minorEastAsia"/>
                <w:sz w:val="20"/>
                <w:szCs w:val="20"/>
                <w:lang w:eastAsia="zh-CN"/>
              </w:rPr>
              <w:t>用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pStyle w:val="Kop1"/>
              <w:spacing w:before="240" w:beforeAutospacing="0" w:after="60" w:afterAutospacing="0"/>
              <w:rPr>
                <w:rFonts w:asciiTheme="minorEastAsia" w:eastAsiaTheme="minorEastAsia" w:hAnsiTheme="minorEastAsia"/>
              </w:rPr>
            </w:pPr>
            <w:bookmarkStart w:id="14" w:name="_Toc158030689"/>
            <w:bookmarkStart w:id="15" w:name="_Toc143105164"/>
            <w:r w:rsidRPr="0064057C">
              <w:rPr>
                <w:rStyle w:val="Nadruk"/>
                <w:rFonts w:asciiTheme="minorEastAsia" w:eastAsiaTheme="minorEastAsia" w:hAnsiTheme="minorEastAsia"/>
                <w:sz w:val="20"/>
                <w:szCs w:val="20"/>
                <w:lang w:eastAsia="zh-CN"/>
              </w:rPr>
              <w:t>不建议</w:t>
            </w:r>
            <w:bookmarkEnd w:id="14"/>
            <w:bookmarkEnd w:id="15"/>
            <w:r w:rsidR="009C19FE">
              <w:rPr>
                <w:rStyle w:val="Nadruk"/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使用</w:t>
            </w:r>
          </w:p>
        </w:tc>
      </w:tr>
      <w:tr w:rsidR="00836DB1" w:rsidRPr="0064057C" w:rsidTr="00836DB1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pStyle w:val="Kop2"/>
              <w:spacing w:before="240" w:beforeAutospacing="0" w:after="60" w:afterAutospacing="0"/>
              <w:rPr>
                <w:rFonts w:asciiTheme="minorEastAsia" w:eastAsiaTheme="minorEastAsia" w:hAnsiTheme="minorEastAsia"/>
              </w:rPr>
            </w:pPr>
            <w:bookmarkStart w:id="16" w:name="_Toc158030690"/>
            <w:bookmarkStart w:id="17" w:name="_Toc143105165"/>
            <w:r w:rsidRPr="0064057C">
              <w:rPr>
                <w:rStyle w:val="Nadruk"/>
                <w:rFonts w:asciiTheme="minorEastAsia" w:eastAsiaTheme="minorEastAsia" w:hAnsiTheme="minorEastAsia"/>
                <w:sz w:val="20"/>
                <w:szCs w:val="20"/>
                <w:lang w:eastAsia="zh-CN"/>
              </w:rPr>
              <w:t>全身镇痛</w:t>
            </w:r>
            <w:bookmarkEnd w:id="16"/>
            <w:bookmarkEnd w:id="17"/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spacing w:afterAutospacing="1"/>
              <w:ind w:left="720"/>
              <w:rPr>
                <w:rFonts w:asciiTheme="minorEastAsia" w:hAnsiTheme="minorEastAsia"/>
              </w:rPr>
            </w:pPr>
          </w:p>
          <w:p w:rsidR="00836DB1" w:rsidRPr="0064057C" w:rsidRDefault="009C19FE" w:rsidP="00836DB1">
            <w:pPr>
              <w:numPr>
                <w:ilvl w:val="0"/>
                <w:numId w:val="42"/>
              </w:num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zh-CN"/>
              </w:rPr>
              <w:t>传统</w:t>
            </w:r>
            <w:r w:rsidR="00836DB1"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非甾体抗炎药</w:t>
            </w:r>
            <w:r w:rsidR="00836DB1"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ab/>
            </w:r>
            <w:r w:rsidR="00836DB1"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 xml:space="preserve">           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tabs>
                <w:tab w:val="num" w:pos="1080"/>
              </w:tabs>
              <w:ind w:left="1080" w:hanging="36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 xml:space="preserve">–（A级） 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spacing w:afterAutospacing="1"/>
              <w:ind w:left="720"/>
              <w:rPr>
                <w:rFonts w:asciiTheme="minorEastAsia" w:hAnsiTheme="minorEastAsia"/>
              </w:rPr>
            </w:pPr>
          </w:p>
          <w:p w:rsidR="00836DB1" w:rsidRPr="0064057C" w:rsidRDefault="00836DB1" w:rsidP="00836DB1">
            <w:pPr>
              <w:numPr>
                <w:ilvl w:val="0"/>
                <w:numId w:val="43"/>
              </w:numPr>
              <w:spacing w:after="0" w:line="240" w:lineRule="auto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lastRenderedPageBreak/>
              <w:t>COX-2-选择性抑制剂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tabs>
                <w:tab w:val="num" w:pos="1080"/>
              </w:tabs>
              <w:ind w:left="1080" w:hanging="36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 xml:space="preserve">（A级） 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ind w:left="72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 w:rsidP="00055BD8">
            <w:pPr>
              <w:pStyle w:val="Plattetekstinspringen2"/>
              <w:numPr>
                <w:ilvl w:val="0"/>
                <w:numId w:val="43"/>
              </w:numPr>
              <w:spacing w:after="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强</w:t>
            </w:r>
            <w:r w:rsidR="009C19FE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zh-CN"/>
              </w:rPr>
              <w:t>效</w:t>
            </w: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阿片类药物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pStyle w:val="Plattetekstinspringen2"/>
              <w:tabs>
                <w:tab w:val="num" w:pos="1080"/>
              </w:tabs>
              <w:spacing w:after="0"/>
              <w:ind w:left="1080" w:hanging="360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高强度疼痛</w:t>
            </w:r>
            <w:r w:rsidR="009C19FE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，在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其他药物</w:t>
            </w:r>
            <w:r w:rsidR="009C19FE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使用基础上使用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（D级）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pStyle w:val="Plattetekstinspringen2"/>
              <w:spacing w:after="0"/>
              <w:ind w:left="1080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 w:rsidP="00055BD8">
            <w:pPr>
              <w:pStyle w:val="Plattetekstinspringen2"/>
              <w:numPr>
                <w:ilvl w:val="0"/>
                <w:numId w:val="43"/>
              </w:numPr>
              <w:spacing w:after="0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弱</w:t>
            </w:r>
            <w:r w:rsidR="009C19FE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zh-CN"/>
              </w:rPr>
              <w:t>效</w:t>
            </w: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阿片类药物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pStyle w:val="Plattetekstinspringen2"/>
              <w:tabs>
                <w:tab w:val="num" w:pos="1080"/>
              </w:tabs>
              <w:spacing w:after="0"/>
              <w:ind w:left="1080" w:hanging="360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/>
                <w:sz w:val="14"/>
                <w:szCs w:val="14"/>
                <w:lang w:eastAsia="zh-CN"/>
              </w:rPr>
              <w:t>  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中低度疼痛的</w:t>
            </w:r>
            <w:r w:rsidR="009C19FE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补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救镇痛</w:t>
            </w:r>
            <w:r w:rsidR="009C19FE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，在其他药物使用的基础上使用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（D级）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pStyle w:val="Plattetekstinspringen2"/>
              <w:spacing w:after="0"/>
              <w:ind w:left="360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 w:rsidP="00055BD8">
            <w:pPr>
              <w:pStyle w:val="Plattetekstinspringen2"/>
              <w:numPr>
                <w:ilvl w:val="0"/>
                <w:numId w:val="43"/>
              </w:numPr>
              <w:spacing w:after="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 xml:space="preserve">扑热息痛 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pStyle w:val="Plattetekstinspringen2"/>
              <w:tabs>
                <w:tab w:val="num" w:pos="1080"/>
              </w:tabs>
              <w:spacing w:after="0"/>
              <w:ind w:left="1080" w:hanging="36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–（A级）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pStyle w:val="Plattetekstinspringen2"/>
              <w:spacing w:after="0"/>
              <w:ind w:left="72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pStyle w:val="Kop2"/>
              <w:spacing w:before="240" w:beforeAutospacing="0" w:after="60" w:afterAutospacing="0"/>
              <w:rPr>
                <w:rFonts w:asciiTheme="minorEastAsia" w:eastAsiaTheme="minorEastAsia" w:hAnsiTheme="minorEastAsia"/>
              </w:rPr>
            </w:pPr>
            <w:bookmarkStart w:id="18" w:name="_Toc158030691"/>
            <w:r w:rsidRPr="0064057C">
              <w:rPr>
                <w:rStyle w:val="Nadruk"/>
                <w:rFonts w:asciiTheme="minorEastAsia" w:eastAsiaTheme="minorEastAsia" w:hAnsiTheme="minorEastAsia"/>
                <w:sz w:val="20"/>
                <w:szCs w:val="20"/>
                <w:lang w:eastAsia="zh-CN"/>
              </w:rPr>
              <w:t>全身镇痛</w:t>
            </w:r>
            <w:bookmarkEnd w:id="18"/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spacing w:afterAutospacing="1"/>
              <w:ind w:left="720"/>
              <w:rPr>
                <w:rFonts w:asciiTheme="minorEastAsia" w:hAnsiTheme="minorEastAsia"/>
              </w:rPr>
            </w:pPr>
          </w:p>
          <w:p w:rsidR="00836DB1" w:rsidRPr="0064057C" w:rsidRDefault="00836DB1" w:rsidP="00836DB1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NMDA拮抗剂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tabs>
                <w:tab w:val="num" w:pos="1080"/>
              </w:tabs>
              <w:ind w:left="1080" w:hanging="36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氯胺酮（D级）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tabs>
                <w:tab w:val="num" w:pos="1080"/>
              </w:tabs>
              <w:ind w:left="1080" w:hanging="36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镁（B级）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spacing w:afterAutospacing="1"/>
              <w:ind w:left="720"/>
              <w:rPr>
                <w:rFonts w:asciiTheme="minorEastAsia" w:hAnsiTheme="minorEastAsia"/>
              </w:rPr>
            </w:pPr>
          </w:p>
          <w:p w:rsidR="00836DB1" w:rsidRPr="0064057C" w:rsidRDefault="00836DB1" w:rsidP="00836DB1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lastRenderedPageBreak/>
              <w:t>强</w:t>
            </w:r>
            <w:r w:rsidR="009C19FE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zh-CN"/>
              </w:rPr>
              <w:t>效</w:t>
            </w: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阿片类药物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tabs>
                <w:tab w:val="num" w:pos="1080"/>
              </w:tabs>
              <w:ind w:left="1080" w:hanging="360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用于常规镇痛（B级）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spacing w:afterAutospacing="1"/>
              <w:ind w:left="720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 w:rsidP="00836DB1">
            <w:pPr>
              <w:numPr>
                <w:ilvl w:val="0"/>
                <w:numId w:val="46"/>
              </w:numPr>
              <w:spacing w:after="0" w:line="240" w:lineRule="auto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弱</w:t>
            </w:r>
            <w:r w:rsidR="009C19FE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zh-CN"/>
              </w:rPr>
              <w:t>效</w:t>
            </w: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 xml:space="preserve">阿片类药物 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tabs>
                <w:tab w:val="num" w:pos="1080"/>
              </w:tabs>
              <w:ind w:left="1080" w:hanging="360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</w:t>
            </w:r>
            <w:r w:rsidR="009C19FE">
              <w:rPr>
                <w:rFonts w:asciiTheme="minorEastAsia" w:hAnsiTheme="minorEastAsia"/>
                <w:sz w:val="14"/>
                <w:szCs w:val="14"/>
                <w:lang w:eastAsia="zh-CN"/>
              </w:rPr>
              <w:t xml:space="preserve"> 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用于常规镇痛（B级）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ind w:left="1080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ind w:left="360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</w:tc>
      </w:tr>
      <w:tr w:rsidR="00836DB1" w:rsidRPr="0064057C" w:rsidTr="00836DB1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9C19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  <w:i/>
                <w:iCs/>
                <w:sz w:val="20"/>
                <w:szCs w:val="20"/>
                <w:lang w:eastAsia="zh-CN"/>
              </w:rPr>
              <w:t>区域</w:t>
            </w:r>
            <w:r w:rsidR="00836DB1" w:rsidRPr="0064057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eastAsia="zh-CN"/>
              </w:rPr>
              <w:t>镇痛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spacing w:afterAutospacing="1"/>
              <w:ind w:left="720"/>
              <w:rPr>
                <w:rFonts w:asciiTheme="minorEastAsia" w:hAnsiTheme="minorEastAsia"/>
              </w:rPr>
            </w:pPr>
          </w:p>
          <w:p w:rsidR="00836DB1" w:rsidRPr="0064057C" w:rsidRDefault="009C19FE" w:rsidP="00836DB1">
            <w:pPr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zh-CN"/>
              </w:rPr>
              <w:t>病人自控</w:t>
            </w:r>
            <w:r w:rsidR="00836DB1"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腹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zh-CN"/>
              </w:rPr>
              <w:t>腔</w:t>
            </w:r>
            <w:r w:rsidR="00836DB1"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内局麻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zh-CN"/>
              </w:rPr>
              <w:t>药</w:t>
            </w:r>
            <w:r w:rsidR="00836DB1"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tabs>
                <w:tab w:val="num" w:pos="1080"/>
              </w:tabs>
              <w:ind w:left="1080" w:hanging="36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–（D级）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i/>
                <w:iCs/>
                <w:sz w:val="20"/>
                <w:szCs w:val="20"/>
                <w:lang w:eastAsia="zh-CN"/>
              </w:rPr>
              <w:t> </w:t>
            </w:r>
          </w:p>
        </w:tc>
      </w:tr>
      <w:tr w:rsidR="00836DB1" w:rsidRPr="0064057C" w:rsidTr="00836DB1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pStyle w:val="Kop2"/>
              <w:spacing w:before="240" w:beforeAutospacing="0" w:after="60" w:afterAutospacing="0"/>
              <w:rPr>
                <w:rFonts w:asciiTheme="minorEastAsia" w:eastAsiaTheme="minorEastAsia" w:hAnsiTheme="minorEastAsia"/>
              </w:rPr>
            </w:pPr>
            <w:bookmarkStart w:id="19" w:name="_Toc158030692"/>
            <w:r w:rsidRPr="0064057C">
              <w:rPr>
                <w:rStyle w:val="Nadruk"/>
                <w:rFonts w:asciiTheme="minorEastAsia" w:eastAsiaTheme="minorEastAsia" w:hAnsiTheme="minorEastAsia"/>
                <w:sz w:val="20"/>
                <w:szCs w:val="20"/>
                <w:lang w:eastAsia="zh-CN"/>
              </w:rPr>
              <w:t>硬膜外镇痛</w:t>
            </w:r>
            <w:bookmarkEnd w:id="19"/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spacing w:afterAutospacing="1"/>
              <w:ind w:left="720"/>
              <w:rPr>
                <w:rFonts w:asciiTheme="minorEastAsia" w:hAnsiTheme="minorEastAsia"/>
              </w:rPr>
            </w:pPr>
          </w:p>
          <w:p w:rsidR="00836DB1" w:rsidRPr="0064057C" w:rsidRDefault="00836DB1" w:rsidP="00836DB1">
            <w:pPr>
              <w:numPr>
                <w:ilvl w:val="0"/>
                <w:numId w:val="48"/>
              </w:numPr>
              <w:spacing w:after="0" w:line="240" w:lineRule="auto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硬膜外镇痛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tabs>
                <w:tab w:val="num" w:pos="1080"/>
              </w:tabs>
              <w:ind w:left="1080" w:hanging="360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用于高危肺病患者（D级）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pStyle w:val="Kop2"/>
              <w:spacing w:before="240" w:beforeAutospacing="0" w:after="60" w:afterAutospacing="0"/>
              <w:rPr>
                <w:rFonts w:asciiTheme="minorEastAsia" w:eastAsiaTheme="minorEastAsia" w:hAnsiTheme="minorEastAsia"/>
              </w:rPr>
            </w:pPr>
            <w:bookmarkStart w:id="20" w:name="_Toc143105168"/>
            <w:bookmarkStart w:id="21" w:name="_Toc158030693"/>
            <w:r w:rsidRPr="0064057C">
              <w:rPr>
                <w:rStyle w:val="Nadruk"/>
                <w:rFonts w:asciiTheme="minorEastAsia" w:eastAsiaTheme="minorEastAsia" w:hAnsiTheme="minorEastAsia"/>
                <w:sz w:val="20"/>
                <w:szCs w:val="20"/>
                <w:lang w:eastAsia="zh-CN"/>
              </w:rPr>
              <w:t>硬膜外镇痛</w:t>
            </w:r>
            <w:bookmarkEnd w:id="20"/>
            <w:bookmarkEnd w:id="21"/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spacing w:afterAutospacing="1"/>
              <w:ind w:left="720"/>
              <w:rPr>
                <w:rFonts w:asciiTheme="minorEastAsia" w:hAnsiTheme="minorEastAsia"/>
              </w:rPr>
            </w:pPr>
          </w:p>
          <w:p w:rsidR="00836DB1" w:rsidRPr="0064057C" w:rsidRDefault="00836DB1" w:rsidP="00836DB1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硬膜外强</w:t>
            </w:r>
            <w:r w:rsidR="008029A9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zh-CN"/>
              </w:rPr>
              <w:t>效</w:t>
            </w: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阿片类药物+局麻</w:t>
            </w:r>
            <w:r w:rsidR="008029A9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zh-CN"/>
              </w:rPr>
              <w:t>药</w:t>
            </w: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tabs>
                <w:tab w:val="num" w:pos="1080"/>
              </w:tabs>
              <w:ind w:left="1080" w:hanging="360"/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</w:t>
            </w:r>
            <w:r w:rsidRPr="0064057C">
              <w:rPr>
                <w:rFonts w:asciiTheme="minorEastAsia" w:hAnsiTheme="minorEastAsia"/>
                <w:sz w:val="14"/>
                <w:szCs w:val="14"/>
                <w:lang w:eastAsia="zh-CN"/>
              </w:rPr>
              <w:t> </w:t>
            </w: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用于常规镇痛（D级）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  <w:lang w:eastAsia="zh-CN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</w:tc>
      </w:tr>
      <w:tr w:rsidR="00836DB1" w:rsidRPr="0064057C" w:rsidTr="00836DB1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  <w:lang w:eastAsia="zh-CN"/>
              </w:rPr>
            </w:pPr>
          </w:p>
          <w:p w:rsidR="00836DB1" w:rsidRPr="0064057C" w:rsidRDefault="00836DB1">
            <w:pPr>
              <w:pStyle w:val="Kop2"/>
              <w:spacing w:before="240" w:beforeAutospacing="0" w:after="60" w:afterAutospacing="0"/>
              <w:rPr>
                <w:rFonts w:asciiTheme="minorEastAsia" w:eastAsiaTheme="minorEastAsia" w:hAnsiTheme="minorEastAsia"/>
              </w:rPr>
            </w:pPr>
            <w:r w:rsidRPr="0064057C">
              <w:rPr>
                <w:rStyle w:val="Nadruk"/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患者管理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 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spacing w:afterAutospacing="1"/>
              <w:ind w:left="720"/>
              <w:rPr>
                <w:rFonts w:asciiTheme="minorEastAsia" w:hAnsiTheme="minorEastAsia"/>
              </w:rPr>
            </w:pPr>
          </w:p>
          <w:p w:rsidR="00836DB1" w:rsidRPr="0064057C" w:rsidRDefault="008029A9" w:rsidP="00836DB1">
            <w:pPr>
              <w:numPr>
                <w:ilvl w:val="0"/>
                <w:numId w:val="50"/>
              </w:numPr>
              <w:spacing w:after="0"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val="en-US" w:eastAsia="zh-CN"/>
              </w:rPr>
              <w:t>尽早</w:t>
            </w:r>
            <w:r w:rsidR="00836DB1"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 xml:space="preserve">出院 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tabs>
                <w:tab w:val="num" w:pos="1080"/>
              </w:tabs>
              <w:ind w:left="1080" w:hanging="36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sz w:val="20"/>
                <w:szCs w:val="20"/>
                <w:lang w:eastAsia="zh-CN"/>
              </w:rPr>
              <w:t>–（D级）</w:t>
            </w:r>
          </w:p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  <w:p w:rsidR="00836DB1" w:rsidRPr="0064057C" w:rsidRDefault="00836DB1">
            <w:pPr>
              <w:ind w:left="720"/>
              <w:rPr>
                <w:rFonts w:asciiTheme="minorEastAsia" w:hAnsiTheme="minorEastAsia"/>
              </w:rPr>
            </w:pPr>
            <w:r w:rsidRPr="0064057C">
              <w:rPr>
                <w:rFonts w:asciiTheme="minorEastAsia" w:hAnsiTheme="minorEastAsia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6DB1" w:rsidRPr="0064057C" w:rsidRDefault="00836DB1">
            <w:pPr>
              <w:spacing w:beforeAutospacing="1" w:afterAutospacing="1"/>
              <w:rPr>
                <w:rFonts w:asciiTheme="minorEastAsia" w:hAnsiTheme="minorEastAsia"/>
              </w:rPr>
            </w:pPr>
          </w:p>
        </w:tc>
      </w:tr>
    </w:tbl>
    <w:p w:rsidR="00836DB1" w:rsidRPr="00E2367D" w:rsidRDefault="00836DB1">
      <w:pPr>
        <w:rPr>
          <w:lang w:val="en-US"/>
        </w:rPr>
      </w:pPr>
    </w:p>
    <w:sectPr w:rsidR="00836DB1" w:rsidRPr="00E2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F5" w:rsidRDefault="00AB5DF5" w:rsidP="0064057C">
      <w:pPr>
        <w:spacing w:after="0" w:line="240" w:lineRule="auto"/>
      </w:pPr>
      <w:r>
        <w:separator/>
      </w:r>
    </w:p>
  </w:endnote>
  <w:endnote w:type="continuationSeparator" w:id="0">
    <w:p w:rsidR="00AB5DF5" w:rsidRDefault="00AB5DF5" w:rsidP="0064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F5" w:rsidRDefault="00AB5DF5" w:rsidP="0064057C">
      <w:pPr>
        <w:spacing w:after="0" w:line="240" w:lineRule="auto"/>
      </w:pPr>
      <w:r>
        <w:separator/>
      </w:r>
    </w:p>
  </w:footnote>
  <w:footnote w:type="continuationSeparator" w:id="0">
    <w:p w:rsidR="00AB5DF5" w:rsidRDefault="00AB5DF5" w:rsidP="0064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972"/>
    <w:multiLevelType w:val="multilevel"/>
    <w:tmpl w:val="4EA0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E3C49"/>
    <w:multiLevelType w:val="multilevel"/>
    <w:tmpl w:val="04B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A6421"/>
    <w:multiLevelType w:val="multilevel"/>
    <w:tmpl w:val="201A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4F233C"/>
    <w:multiLevelType w:val="multilevel"/>
    <w:tmpl w:val="CD7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503546"/>
    <w:multiLevelType w:val="multilevel"/>
    <w:tmpl w:val="F0D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750C53"/>
    <w:multiLevelType w:val="multilevel"/>
    <w:tmpl w:val="E39A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D200B7"/>
    <w:multiLevelType w:val="multilevel"/>
    <w:tmpl w:val="5944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F23939"/>
    <w:multiLevelType w:val="multilevel"/>
    <w:tmpl w:val="D8C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595760"/>
    <w:multiLevelType w:val="multilevel"/>
    <w:tmpl w:val="A316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630289"/>
    <w:multiLevelType w:val="multilevel"/>
    <w:tmpl w:val="CF76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CA25E2"/>
    <w:multiLevelType w:val="multilevel"/>
    <w:tmpl w:val="1846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C6268D"/>
    <w:multiLevelType w:val="multilevel"/>
    <w:tmpl w:val="6196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D631E3"/>
    <w:multiLevelType w:val="multilevel"/>
    <w:tmpl w:val="3D18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20061A"/>
    <w:multiLevelType w:val="multilevel"/>
    <w:tmpl w:val="639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F67D71"/>
    <w:multiLevelType w:val="multilevel"/>
    <w:tmpl w:val="590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DA32EA"/>
    <w:multiLevelType w:val="multilevel"/>
    <w:tmpl w:val="DEF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4A0280"/>
    <w:multiLevelType w:val="multilevel"/>
    <w:tmpl w:val="516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0A77BE"/>
    <w:multiLevelType w:val="multilevel"/>
    <w:tmpl w:val="2D48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CD2096"/>
    <w:multiLevelType w:val="multilevel"/>
    <w:tmpl w:val="8AEE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747BBF"/>
    <w:multiLevelType w:val="multilevel"/>
    <w:tmpl w:val="2758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7848AA"/>
    <w:multiLevelType w:val="multilevel"/>
    <w:tmpl w:val="C4C6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99397E"/>
    <w:multiLevelType w:val="multilevel"/>
    <w:tmpl w:val="9CA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E34BF4"/>
    <w:multiLevelType w:val="multilevel"/>
    <w:tmpl w:val="2114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FF76C2"/>
    <w:multiLevelType w:val="multilevel"/>
    <w:tmpl w:val="6DC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C94CE7"/>
    <w:multiLevelType w:val="multilevel"/>
    <w:tmpl w:val="055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5F6588"/>
    <w:multiLevelType w:val="multilevel"/>
    <w:tmpl w:val="9CA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1B429D"/>
    <w:multiLevelType w:val="multilevel"/>
    <w:tmpl w:val="6E9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1410FC"/>
    <w:multiLevelType w:val="multilevel"/>
    <w:tmpl w:val="9014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7A4C36"/>
    <w:multiLevelType w:val="multilevel"/>
    <w:tmpl w:val="F98A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483556"/>
    <w:multiLevelType w:val="multilevel"/>
    <w:tmpl w:val="DF6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CD24ED"/>
    <w:multiLevelType w:val="multilevel"/>
    <w:tmpl w:val="B850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F74B8F"/>
    <w:multiLevelType w:val="multilevel"/>
    <w:tmpl w:val="CCE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FA1C48"/>
    <w:multiLevelType w:val="multilevel"/>
    <w:tmpl w:val="573E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D428FA"/>
    <w:multiLevelType w:val="multilevel"/>
    <w:tmpl w:val="5DA0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A870A7"/>
    <w:multiLevelType w:val="multilevel"/>
    <w:tmpl w:val="100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FF1350"/>
    <w:multiLevelType w:val="multilevel"/>
    <w:tmpl w:val="340C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19373F"/>
    <w:multiLevelType w:val="multilevel"/>
    <w:tmpl w:val="5CA6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81390C"/>
    <w:multiLevelType w:val="multilevel"/>
    <w:tmpl w:val="8D0A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AD6B48"/>
    <w:multiLevelType w:val="multilevel"/>
    <w:tmpl w:val="E5A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C51824"/>
    <w:multiLevelType w:val="multilevel"/>
    <w:tmpl w:val="9E36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354B1E"/>
    <w:multiLevelType w:val="multilevel"/>
    <w:tmpl w:val="10E0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B512AA"/>
    <w:multiLevelType w:val="multilevel"/>
    <w:tmpl w:val="6C4C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D85315"/>
    <w:multiLevelType w:val="multilevel"/>
    <w:tmpl w:val="322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FE61B3"/>
    <w:multiLevelType w:val="multilevel"/>
    <w:tmpl w:val="A280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25A35E5"/>
    <w:multiLevelType w:val="multilevel"/>
    <w:tmpl w:val="B93E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A554DA"/>
    <w:multiLevelType w:val="multilevel"/>
    <w:tmpl w:val="0C8C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3D86ABE"/>
    <w:multiLevelType w:val="multilevel"/>
    <w:tmpl w:val="776E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0205E6"/>
    <w:multiLevelType w:val="multilevel"/>
    <w:tmpl w:val="D046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77D4AB1"/>
    <w:multiLevelType w:val="multilevel"/>
    <w:tmpl w:val="6798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BD63DB"/>
    <w:multiLevelType w:val="multilevel"/>
    <w:tmpl w:val="3852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33"/>
  </w:num>
  <w:num w:numId="3">
    <w:abstractNumId w:val="44"/>
  </w:num>
  <w:num w:numId="4">
    <w:abstractNumId w:val="42"/>
  </w:num>
  <w:num w:numId="5">
    <w:abstractNumId w:val="40"/>
  </w:num>
  <w:num w:numId="6">
    <w:abstractNumId w:val="5"/>
  </w:num>
  <w:num w:numId="7">
    <w:abstractNumId w:val="30"/>
  </w:num>
  <w:num w:numId="8">
    <w:abstractNumId w:val="46"/>
  </w:num>
  <w:num w:numId="9">
    <w:abstractNumId w:val="9"/>
  </w:num>
  <w:num w:numId="10">
    <w:abstractNumId w:val="18"/>
  </w:num>
  <w:num w:numId="11">
    <w:abstractNumId w:val="35"/>
  </w:num>
  <w:num w:numId="12">
    <w:abstractNumId w:val="21"/>
  </w:num>
  <w:num w:numId="13">
    <w:abstractNumId w:val="10"/>
  </w:num>
  <w:num w:numId="14">
    <w:abstractNumId w:val="24"/>
  </w:num>
  <w:num w:numId="15">
    <w:abstractNumId w:val="26"/>
  </w:num>
  <w:num w:numId="16">
    <w:abstractNumId w:val="1"/>
  </w:num>
  <w:num w:numId="17">
    <w:abstractNumId w:val="12"/>
  </w:num>
  <w:num w:numId="18">
    <w:abstractNumId w:val="2"/>
  </w:num>
  <w:num w:numId="19">
    <w:abstractNumId w:val="49"/>
  </w:num>
  <w:num w:numId="20">
    <w:abstractNumId w:val="31"/>
  </w:num>
  <w:num w:numId="21">
    <w:abstractNumId w:val="39"/>
  </w:num>
  <w:num w:numId="22">
    <w:abstractNumId w:val="7"/>
  </w:num>
  <w:num w:numId="23">
    <w:abstractNumId w:val="37"/>
  </w:num>
  <w:num w:numId="24">
    <w:abstractNumId w:val="38"/>
  </w:num>
  <w:num w:numId="25">
    <w:abstractNumId w:val="27"/>
  </w:num>
  <w:num w:numId="26">
    <w:abstractNumId w:val="19"/>
  </w:num>
  <w:num w:numId="27">
    <w:abstractNumId w:val="48"/>
  </w:num>
  <w:num w:numId="28">
    <w:abstractNumId w:val="23"/>
  </w:num>
  <w:num w:numId="29">
    <w:abstractNumId w:val="45"/>
  </w:num>
  <w:num w:numId="30">
    <w:abstractNumId w:val="32"/>
  </w:num>
  <w:num w:numId="31">
    <w:abstractNumId w:val="4"/>
  </w:num>
  <w:num w:numId="32">
    <w:abstractNumId w:val="8"/>
  </w:num>
  <w:num w:numId="33">
    <w:abstractNumId w:val="47"/>
  </w:num>
  <w:num w:numId="34">
    <w:abstractNumId w:val="16"/>
  </w:num>
  <w:num w:numId="35">
    <w:abstractNumId w:val="43"/>
  </w:num>
  <w:num w:numId="36">
    <w:abstractNumId w:val="36"/>
  </w:num>
  <w:num w:numId="37">
    <w:abstractNumId w:val="41"/>
  </w:num>
  <w:num w:numId="38">
    <w:abstractNumId w:val="14"/>
  </w:num>
  <w:num w:numId="39">
    <w:abstractNumId w:val="25"/>
  </w:num>
  <w:num w:numId="40">
    <w:abstractNumId w:val="28"/>
  </w:num>
  <w:num w:numId="41">
    <w:abstractNumId w:val="0"/>
  </w:num>
  <w:num w:numId="42">
    <w:abstractNumId w:val="17"/>
  </w:num>
  <w:num w:numId="43">
    <w:abstractNumId w:val="22"/>
  </w:num>
  <w:num w:numId="44">
    <w:abstractNumId w:val="15"/>
  </w:num>
  <w:num w:numId="45">
    <w:abstractNumId w:val="11"/>
  </w:num>
  <w:num w:numId="46">
    <w:abstractNumId w:val="13"/>
  </w:num>
  <w:num w:numId="47">
    <w:abstractNumId w:val="3"/>
  </w:num>
  <w:num w:numId="48">
    <w:abstractNumId w:val="6"/>
  </w:num>
  <w:num w:numId="49">
    <w:abstractNumId w:val="20"/>
  </w:num>
  <w:num w:numId="50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48"/>
    <w:rsid w:val="00055BD8"/>
    <w:rsid w:val="000649CE"/>
    <w:rsid w:val="00537CC5"/>
    <w:rsid w:val="0064057C"/>
    <w:rsid w:val="006E399E"/>
    <w:rsid w:val="008029A9"/>
    <w:rsid w:val="00836DB1"/>
    <w:rsid w:val="008D1333"/>
    <w:rsid w:val="009C19FE"/>
    <w:rsid w:val="00AB5DF5"/>
    <w:rsid w:val="00B93E25"/>
    <w:rsid w:val="00C15548"/>
    <w:rsid w:val="00E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C1D783-37D4-4739-8E3E-7EFF61F2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15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Kop2">
    <w:name w:val="heading 2"/>
    <w:basedOn w:val="Standaard"/>
    <w:link w:val="Kop2Char"/>
    <w:uiPriority w:val="9"/>
    <w:qFormat/>
    <w:rsid w:val="00C15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554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Kop2Char">
    <w:name w:val="Kop 2 Char"/>
    <w:basedOn w:val="Standaardalinea-lettertype"/>
    <w:link w:val="Kop2"/>
    <w:uiPriority w:val="9"/>
    <w:rsid w:val="00C1554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alweb">
    <w:name w:val="Normal (Web)"/>
    <w:basedOn w:val="Standaard"/>
    <w:uiPriority w:val="99"/>
    <w:semiHidden/>
    <w:unhideWhenUsed/>
    <w:rsid w:val="00C1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waar">
    <w:name w:val="Strong"/>
    <w:basedOn w:val="Standaardalinea-lettertype"/>
    <w:uiPriority w:val="22"/>
    <w:qFormat/>
    <w:rsid w:val="00C15548"/>
    <w:rPr>
      <w:b/>
      <w:bCs/>
    </w:rPr>
  </w:style>
  <w:style w:type="character" w:styleId="Nadruk">
    <w:name w:val="Emphasis"/>
    <w:basedOn w:val="Standaardalinea-lettertype"/>
    <w:uiPriority w:val="20"/>
    <w:qFormat/>
    <w:rsid w:val="00C15548"/>
    <w:rPr>
      <w:i/>
      <w:iCs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1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1554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836DB1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836DB1"/>
  </w:style>
  <w:style w:type="paragraph" w:styleId="Koptekst">
    <w:name w:val="header"/>
    <w:basedOn w:val="Standaard"/>
    <w:link w:val="KoptekstChar"/>
    <w:uiPriority w:val="99"/>
    <w:unhideWhenUsed/>
    <w:rsid w:val="00640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64057C"/>
    <w:rPr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4057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4057C"/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3E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3E25"/>
    <w:rPr>
      <w:rFonts w:ascii="Times New Roman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B9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C698AC78</Template>
  <TotalTime>0</TotalTime>
  <Pages>12</Pages>
  <Words>302</Words>
  <Characters>1661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Eline Michiels</cp:lastModifiedBy>
  <cp:revision>2</cp:revision>
  <dcterms:created xsi:type="dcterms:W3CDTF">2018-08-06T12:29:00Z</dcterms:created>
  <dcterms:modified xsi:type="dcterms:W3CDTF">2018-08-06T12:29:00Z</dcterms:modified>
</cp:coreProperties>
</file>