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D7244" w14:textId="77777777" w:rsidR="00490355" w:rsidRDefault="00FB1CC0" w:rsidP="00FB1CC0">
      <w:pPr>
        <w:spacing w:line="240" w:lineRule="auto"/>
        <w:rPr>
          <w:lang w:eastAsia="zh-CN"/>
        </w:rPr>
      </w:pPr>
      <w:bookmarkStart w:id="0" w:name="_GoBack"/>
      <w:bookmarkEnd w:id="0"/>
      <w:r>
        <w:rPr>
          <w:lang w:eastAsia="zh-CN"/>
        </w:rPr>
        <w:t>摘要建议</w:t>
      </w:r>
      <w:r>
        <w:rPr>
          <w:lang w:eastAsia="zh-CN"/>
        </w:rPr>
        <w:t xml:space="preserve"> </w:t>
      </w:r>
    </w:p>
    <w:p w14:paraId="3295779E" w14:textId="1EFED00D" w:rsidR="00FB1CC0" w:rsidRPr="00FB1CC0" w:rsidRDefault="00FB1CC0" w:rsidP="00FB1CC0">
      <w:pPr>
        <w:spacing w:line="240" w:lineRule="auto"/>
        <w:rPr>
          <w:lang w:eastAsia="zh-CN"/>
        </w:rPr>
      </w:pPr>
      <w:r>
        <w:rPr>
          <w:lang w:eastAsia="zh-CN"/>
        </w:rPr>
        <w:t>PROSPECT</w:t>
      </w:r>
      <w:r>
        <w:rPr>
          <w:lang w:eastAsia="zh-CN"/>
        </w:rPr>
        <w:t>工作组的建议</w:t>
      </w:r>
      <w:r w:rsidR="00AC24B7">
        <w:rPr>
          <w:rFonts w:hint="eastAsia"/>
          <w:lang w:eastAsia="zh-CN"/>
        </w:rPr>
        <w:t>，系</w:t>
      </w:r>
      <w:r>
        <w:rPr>
          <w:lang w:eastAsia="zh-CN"/>
        </w:rPr>
        <w:t>根据研究的证据级别</w:t>
      </w:r>
      <w:r w:rsidR="00AC24B7">
        <w:rPr>
          <w:rFonts w:hint="eastAsia"/>
          <w:lang w:eastAsia="zh-CN"/>
        </w:rPr>
        <w:t>，</w:t>
      </w:r>
      <w:r>
        <w:rPr>
          <w:lang w:eastAsia="zh-CN"/>
        </w:rPr>
        <w:t>按照牛津循证医学中心的要求</w:t>
      </w:r>
      <w:r w:rsidR="00AC24B7">
        <w:rPr>
          <w:rFonts w:hint="eastAsia"/>
          <w:lang w:eastAsia="zh-CN"/>
        </w:rPr>
        <w:t>，</w:t>
      </w:r>
      <w:r>
        <w:rPr>
          <w:lang w:eastAsia="zh-CN"/>
        </w:rPr>
        <w:t>进行</w:t>
      </w:r>
      <w:r>
        <w:rPr>
          <w:lang w:eastAsia="zh-CN"/>
        </w:rPr>
        <w:t>A-D</w:t>
      </w:r>
      <w:r>
        <w:rPr>
          <w:lang w:eastAsia="zh-CN"/>
        </w:rPr>
        <w:t>级评定（</w:t>
      </w:r>
      <w:hyperlink r:id="rId7" w:history="1">
        <w:r w:rsidRPr="000E4545">
          <w:rPr>
            <w:rStyle w:val="Hyperlink"/>
            <w:lang w:eastAsia="zh-CN"/>
          </w:rPr>
          <w:t>CEBM</w:t>
        </w:r>
        <w:r w:rsidRPr="000E4545">
          <w:rPr>
            <w:rStyle w:val="Hyperlink"/>
            <w:lang w:eastAsia="zh-CN"/>
          </w:rPr>
          <w:t>网站访问于</w:t>
        </w:r>
        <w:r w:rsidRPr="000E4545">
          <w:rPr>
            <w:rStyle w:val="Hyperlink"/>
            <w:lang w:eastAsia="zh-CN"/>
          </w:rPr>
          <w:t>2003</w:t>
        </w:r>
        <w:r w:rsidRPr="000E4545">
          <w:rPr>
            <w:rStyle w:val="Hyperlink"/>
            <w:lang w:eastAsia="zh-CN"/>
          </w:rPr>
          <w:t>年</w:t>
        </w:r>
        <w:r w:rsidRPr="000E4545">
          <w:rPr>
            <w:rStyle w:val="Hyperlink"/>
            <w:lang w:eastAsia="zh-CN"/>
          </w:rPr>
          <w:t>12</w:t>
        </w:r>
        <w:r w:rsidRPr="000E4545">
          <w:rPr>
            <w:rStyle w:val="Hyperlink"/>
            <w:lang w:eastAsia="zh-CN"/>
          </w:rPr>
          <w:t>月，</w:t>
        </w:r>
        <w:r w:rsidRPr="000E4545">
          <w:rPr>
            <w:rStyle w:val="Hyperlink"/>
            <w:lang w:eastAsia="zh-CN"/>
          </w:rPr>
          <w:t>Sackett</w:t>
        </w:r>
        <w:r w:rsidRPr="000E4545">
          <w:rPr>
            <w:rStyle w:val="Hyperlink"/>
            <w:lang w:eastAsia="zh-CN"/>
          </w:rPr>
          <w:t>，</w:t>
        </w:r>
        <w:r w:rsidRPr="000E4545">
          <w:rPr>
            <w:rStyle w:val="Hyperlink"/>
            <w:lang w:eastAsia="zh-CN"/>
          </w:rPr>
          <w:t>2000</w:t>
        </w:r>
        <w:r w:rsidRPr="000E4545">
          <w:rPr>
            <w:rStyle w:val="Hyperlink"/>
            <w:lang w:eastAsia="zh-CN"/>
          </w:rPr>
          <w:t>年</w:t>
        </w:r>
      </w:hyperlink>
      <w:r>
        <w:rPr>
          <w:lang w:eastAsia="zh-CN"/>
        </w:rPr>
        <w:t>）</w:t>
      </w:r>
      <w:r w:rsidR="00AC24B7">
        <w:rPr>
          <w:rFonts w:hint="eastAsia"/>
          <w:lang w:eastAsia="zh-CN"/>
        </w:rPr>
        <w:t>。</w:t>
      </w:r>
      <w:r>
        <w:rPr>
          <w:lang w:eastAsia="zh-CN"/>
        </w:rPr>
        <w:t>PROSPECT</w:t>
      </w:r>
      <w:r>
        <w:rPr>
          <w:lang w:eastAsia="zh-CN"/>
        </w:rPr>
        <w:t>的</w:t>
      </w:r>
      <w:r w:rsidR="00AC24B7">
        <w:rPr>
          <w:rFonts w:hint="eastAsia"/>
          <w:lang w:eastAsia="zh-CN"/>
        </w:rPr>
        <w:t>内容中</w:t>
      </w:r>
      <w:r>
        <w:rPr>
          <w:lang w:eastAsia="zh-CN"/>
        </w:rPr>
        <w:t>，基于</w:t>
      </w:r>
      <w:r w:rsidR="00AC24B7">
        <w:rPr>
          <w:rFonts w:hint="eastAsia"/>
          <w:lang w:eastAsia="zh-CN"/>
        </w:rPr>
        <w:t>特定</w:t>
      </w:r>
      <w:r>
        <w:rPr>
          <w:lang w:eastAsia="zh-CN"/>
        </w:rPr>
        <w:t>手术相关证据的建议是</w:t>
      </w:r>
      <w:r>
        <w:rPr>
          <w:lang w:eastAsia="zh-CN"/>
        </w:rPr>
        <w:t>A</w:t>
      </w:r>
      <w:r>
        <w:rPr>
          <w:lang w:eastAsia="zh-CN"/>
        </w:rPr>
        <w:t>级（随机临床试验），基于可</w:t>
      </w:r>
      <w:r w:rsidR="00AC24B7">
        <w:rPr>
          <w:lang w:eastAsia="zh-CN"/>
        </w:rPr>
        <w:t>借鉴</w:t>
      </w:r>
      <w:r>
        <w:rPr>
          <w:lang w:eastAsia="zh-CN"/>
        </w:rPr>
        <w:t>证据的建议是</w:t>
      </w:r>
      <w:r>
        <w:rPr>
          <w:lang w:eastAsia="zh-CN"/>
        </w:rPr>
        <w:t>B</w:t>
      </w:r>
      <w:r>
        <w:rPr>
          <w:lang w:eastAsia="zh-CN"/>
        </w:rPr>
        <w:t>级（随机临床试验）或</w:t>
      </w:r>
      <w:r>
        <w:rPr>
          <w:lang w:eastAsia="zh-CN"/>
        </w:rPr>
        <w:t>C</w:t>
      </w:r>
      <w:r>
        <w:rPr>
          <w:lang w:eastAsia="zh-CN"/>
        </w:rPr>
        <w:t>级（回顾性研究或病例系列），基于临床实践的建议是</w:t>
      </w:r>
      <w:r>
        <w:rPr>
          <w:lang w:eastAsia="zh-CN"/>
        </w:rPr>
        <w:t>D</w:t>
      </w:r>
      <w:r>
        <w:rPr>
          <w:lang w:eastAsia="zh-CN"/>
        </w:rPr>
        <w:t>级。（</w:t>
      </w:r>
      <w:hyperlink r:id="rId8" w:history="1">
        <w:r w:rsidRPr="000E4545">
          <w:rPr>
            <w:rStyle w:val="Hyperlink"/>
            <w:lang w:eastAsia="zh-CN"/>
          </w:rPr>
          <w:t>点击此处获取有关证据级别和建议等级的更多信息</w:t>
        </w:r>
      </w:hyperlink>
      <w:r>
        <w:rPr>
          <w:lang w:eastAsia="zh-CN"/>
        </w:rPr>
        <w:t>）</w:t>
      </w:r>
      <w:r w:rsidR="00AC24B7">
        <w:rPr>
          <w:rFonts w:hint="eastAsia"/>
          <w:lang w:eastAsia="zh-CN"/>
        </w:rPr>
        <w:t>。</w:t>
      </w:r>
      <w:r>
        <w:rPr>
          <w:lang w:eastAsia="zh-CN"/>
        </w:rPr>
        <w:t>PROSPECT</w:t>
      </w:r>
      <w:r>
        <w:rPr>
          <w:lang w:eastAsia="zh-CN"/>
        </w:rPr>
        <w:t>根据已发表的证据和专家意见，为临床医生提供赞成和反对使用各种术后疼痛干预措施的支持性论据。临床医生必须根据临床情况和当地法规做出判断。任何时候都必须参考所提及药物的当地处方信息。对以下</w:t>
      </w:r>
      <w:r w:rsidR="001977F6">
        <w:rPr>
          <w:rFonts w:hint="eastAsia"/>
          <w:lang w:eastAsia="zh-CN"/>
        </w:rPr>
        <w:t>经</w:t>
      </w:r>
      <w:r>
        <w:rPr>
          <w:lang w:eastAsia="zh-CN"/>
        </w:rPr>
        <w:t>腹子宫切除术后术后疼痛的处理进行了以下术前、术中和术后干预评估：</w:t>
      </w:r>
      <w:r>
        <w:rPr>
          <w:b/>
          <w:bCs/>
          <w:i/>
          <w:iCs/>
          <w:lang w:eastAsia="zh-CN"/>
        </w:rPr>
        <w:t>建议</w:t>
      </w:r>
      <w:r>
        <w:rPr>
          <w:b/>
          <w:bCs/>
          <w:lang w:eastAsia="zh-CN"/>
        </w:rPr>
        <w:t>用于术前：</w:t>
      </w:r>
      <w:r>
        <w:rPr>
          <w:b/>
          <w:bCs/>
          <w:lang w:eastAsia="zh-CN"/>
        </w:rPr>
        <w:t xml:space="preserve"> </w:t>
      </w:r>
    </w:p>
    <w:p w14:paraId="2B1AA4DE" w14:textId="43165AE8" w:rsidR="00FB1CC0" w:rsidRPr="00FB1CC0" w:rsidRDefault="00FB1CC0" w:rsidP="00FB1CC0">
      <w:pPr>
        <w:numPr>
          <w:ilvl w:val="0"/>
          <w:numId w:val="1"/>
        </w:numPr>
        <w:spacing w:line="240" w:lineRule="auto"/>
        <w:rPr>
          <w:lang w:eastAsia="zh-CN"/>
        </w:rPr>
      </w:pPr>
      <w:r>
        <w:rPr>
          <w:b/>
          <w:bCs/>
          <w:lang w:eastAsia="zh-CN"/>
        </w:rPr>
        <w:t>单剂量</w:t>
      </w:r>
      <w:r w:rsidR="00AC24B7">
        <w:rPr>
          <w:b/>
          <w:bCs/>
          <w:lang w:eastAsia="zh-CN"/>
        </w:rPr>
        <w:t>腰麻</w:t>
      </w:r>
      <w:r>
        <w:rPr>
          <w:b/>
          <w:bCs/>
          <w:lang w:eastAsia="zh-CN"/>
        </w:rPr>
        <w:t>加上</w:t>
      </w:r>
      <w:r w:rsidR="001977F6">
        <w:rPr>
          <w:b/>
          <w:bCs/>
          <w:lang w:eastAsia="zh-CN"/>
        </w:rPr>
        <w:t>强效</w:t>
      </w:r>
      <w:r>
        <w:rPr>
          <w:b/>
          <w:bCs/>
          <w:lang w:eastAsia="zh-CN"/>
        </w:rPr>
        <w:t>阿片类药物，用于麻醉（</w:t>
      </w:r>
      <w:r>
        <w:rPr>
          <w:b/>
          <w:bCs/>
          <w:lang w:eastAsia="zh-CN"/>
        </w:rPr>
        <w:t>D</w:t>
      </w:r>
      <w:r>
        <w:rPr>
          <w:b/>
          <w:bCs/>
          <w:lang w:eastAsia="zh-CN"/>
        </w:rPr>
        <w:t>级）和术后镇痛目的（</w:t>
      </w:r>
      <w:r>
        <w:rPr>
          <w:b/>
          <w:bCs/>
          <w:lang w:eastAsia="zh-CN"/>
        </w:rPr>
        <w:t>A</w:t>
      </w:r>
      <w:r>
        <w:rPr>
          <w:b/>
          <w:bCs/>
          <w:lang w:eastAsia="zh-CN"/>
        </w:rPr>
        <w:t>级），但必须针对手术的侵入性风险对其益处进行权衡</w:t>
      </w:r>
      <w:r>
        <w:rPr>
          <w:b/>
          <w:bCs/>
          <w:lang w:eastAsia="zh-CN"/>
        </w:rPr>
        <w:t xml:space="preserve"> </w:t>
      </w:r>
    </w:p>
    <w:p w14:paraId="3833A287" w14:textId="77777777" w:rsidR="00FB1CC0" w:rsidRPr="00FB1CC0" w:rsidRDefault="00FB1CC0" w:rsidP="00FB1CC0">
      <w:pPr>
        <w:numPr>
          <w:ilvl w:val="0"/>
          <w:numId w:val="1"/>
        </w:numPr>
        <w:spacing w:line="240" w:lineRule="auto"/>
      </w:pPr>
      <w:r>
        <w:rPr>
          <w:b/>
          <w:bCs/>
          <w:lang w:eastAsia="zh-CN"/>
        </w:rPr>
        <w:t>认知干预（</w:t>
      </w:r>
      <w:r>
        <w:rPr>
          <w:b/>
          <w:bCs/>
          <w:lang w:eastAsia="zh-CN"/>
        </w:rPr>
        <w:t>A</w:t>
      </w:r>
      <w:r>
        <w:rPr>
          <w:b/>
          <w:bCs/>
          <w:lang w:eastAsia="zh-CN"/>
        </w:rPr>
        <w:t>级）</w:t>
      </w:r>
      <w:r>
        <w:rPr>
          <w:b/>
          <w:bCs/>
          <w:lang w:eastAsia="zh-CN"/>
        </w:rPr>
        <w:t xml:space="preserve"> </w:t>
      </w:r>
    </w:p>
    <w:p w14:paraId="2FEEF2A1" w14:textId="77777777" w:rsidR="00FB1CC0" w:rsidRPr="00FB1CC0" w:rsidRDefault="00FB1CC0" w:rsidP="00FB1CC0">
      <w:pPr>
        <w:spacing w:line="240" w:lineRule="auto"/>
      </w:pPr>
      <w:r>
        <w:rPr>
          <w:i/>
          <w:iCs/>
          <w:lang w:eastAsia="zh-CN"/>
        </w:rPr>
        <w:t>不建议：</w:t>
      </w:r>
      <w:r>
        <w:rPr>
          <w:lang w:eastAsia="zh-CN"/>
        </w:rPr>
        <w:t xml:space="preserve"> </w:t>
      </w:r>
    </w:p>
    <w:p w14:paraId="7CDEDF4E" w14:textId="4BAA5870" w:rsidR="00FB1CC0" w:rsidRPr="00FB1CC0" w:rsidRDefault="00FB1CC0" w:rsidP="00FB1CC0">
      <w:pPr>
        <w:numPr>
          <w:ilvl w:val="0"/>
          <w:numId w:val="2"/>
        </w:numPr>
        <w:spacing w:line="240" w:lineRule="auto"/>
        <w:rPr>
          <w:lang w:eastAsia="zh-CN"/>
        </w:rPr>
      </w:pPr>
      <w:r>
        <w:rPr>
          <w:lang w:eastAsia="zh-CN"/>
        </w:rPr>
        <w:t>全身镇痛药（如静脉注射</w:t>
      </w:r>
      <w:r>
        <w:rPr>
          <w:lang w:eastAsia="zh-CN"/>
        </w:rPr>
        <w:t>COX-2</w:t>
      </w:r>
      <w:r>
        <w:rPr>
          <w:lang w:eastAsia="zh-CN"/>
        </w:rPr>
        <w:t>抑制剂、常规非甾体抗炎药、</w:t>
      </w:r>
      <w:r w:rsidR="001977F6">
        <w:rPr>
          <w:lang w:eastAsia="zh-CN"/>
        </w:rPr>
        <w:t>强效</w:t>
      </w:r>
      <w:r>
        <w:rPr>
          <w:lang w:eastAsia="zh-CN"/>
        </w:rPr>
        <w:t>阿片类药物），除非为了确保患者醒来时有足够的镇痛作用（例如口服</w:t>
      </w:r>
      <w:r>
        <w:rPr>
          <w:lang w:eastAsia="zh-CN"/>
        </w:rPr>
        <w:t>COX-2</w:t>
      </w:r>
      <w:r>
        <w:rPr>
          <w:lang w:eastAsia="zh-CN"/>
        </w:rPr>
        <w:t>抑制剂）（</w:t>
      </w:r>
      <w:r>
        <w:rPr>
          <w:lang w:eastAsia="zh-CN"/>
        </w:rPr>
        <w:t>A</w:t>
      </w:r>
      <w:r>
        <w:rPr>
          <w:lang w:eastAsia="zh-CN"/>
        </w:rPr>
        <w:t>级）</w:t>
      </w:r>
    </w:p>
    <w:p w14:paraId="0D29A4DB" w14:textId="77777777" w:rsidR="00FB1CC0" w:rsidRPr="00FB1CC0" w:rsidRDefault="00FB1CC0" w:rsidP="00FB1CC0">
      <w:pPr>
        <w:numPr>
          <w:ilvl w:val="0"/>
          <w:numId w:val="2"/>
        </w:numPr>
        <w:spacing w:line="240" w:lineRule="auto"/>
        <w:rPr>
          <w:lang w:eastAsia="zh-CN"/>
        </w:rPr>
      </w:pPr>
      <w:r>
        <w:rPr>
          <w:lang w:eastAsia="zh-CN"/>
        </w:rPr>
        <w:t>可乐定、</w:t>
      </w:r>
      <w:r>
        <w:rPr>
          <w:lang w:eastAsia="zh-CN"/>
        </w:rPr>
        <w:t>NMDA</w:t>
      </w:r>
      <w:r>
        <w:rPr>
          <w:lang w:eastAsia="zh-CN"/>
        </w:rPr>
        <w:t>受体拮抗剂和苯二氮卓类药物（</w:t>
      </w:r>
      <w:r>
        <w:rPr>
          <w:lang w:eastAsia="zh-CN"/>
        </w:rPr>
        <w:t>A</w:t>
      </w:r>
      <w:r>
        <w:rPr>
          <w:lang w:eastAsia="zh-CN"/>
        </w:rPr>
        <w:t>级）</w:t>
      </w:r>
    </w:p>
    <w:p w14:paraId="11A6203B" w14:textId="610F9894" w:rsidR="00FB1CC0" w:rsidRPr="00FB1CC0" w:rsidRDefault="00FB1CC0" w:rsidP="00FB1CC0">
      <w:pPr>
        <w:numPr>
          <w:ilvl w:val="0"/>
          <w:numId w:val="2"/>
        </w:numPr>
        <w:spacing w:line="240" w:lineRule="auto"/>
        <w:rPr>
          <w:lang w:eastAsia="zh-CN"/>
        </w:rPr>
      </w:pPr>
      <w:r>
        <w:rPr>
          <w:lang w:eastAsia="zh-CN"/>
        </w:rPr>
        <w:t>将单剂量硬膜外</w:t>
      </w:r>
      <w:r w:rsidR="00AC24B7">
        <w:rPr>
          <w:rFonts w:hint="eastAsia"/>
          <w:lang w:eastAsia="zh-CN"/>
        </w:rPr>
        <w:t>给药</w:t>
      </w:r>
      <w:r>
        <w:rPr>
          <w:lang w:eastAsia="zh-CN"/>
        </w:rPr>
        <w:t>用于术后镇痛（</w:t>
      </w:r>
      <w:r>
        <w:rPr>
          <w:lang w:eastAsia="zh-CN"/>
        </w:rPr>
        <w:t>A</w:t>
      </w:r>
      <w:r>
        <w:rPr>
          <w:lang w:eastAsia="zh-CN"/>
        </w:rPr>
        <w:t>级）</w:t>
      </w:r>
    </w:p>
    <w:p w14:paraId="2D2F3387" w14:textId="411576F0" w:rsidR="00FB1CC0" w:rsidRPr="00FB1CC0" w:rsidRDefault="00FB1CC0" w:rsidP="00FB1CC0">
      <w:pPr>
        <w:numPr>
          <w:ilvl w:val="0"/>
          <w:numId w:val="2"/>
        </w:numPr>
        <w:spacing w:line="240" w:lineRule="auto"/>
        <w:rPr>
          <w:lang w:eastAsia="zh-CN"/>
        </w:rPr>
      </w:pPr>
      <w:r>
        <w:rPr>
          <w:lang w:eastAsia="zh-CN"/>
        </w:rPr>
        <w:t>在拟议的切口部位（</w:t>
      </w:r>
      <w:r>
        <w:rPr>
          <w:lang w:eastAsia="zh-CN"/>
        </w:rPr>
        <w:t>A</w:t>
      </w:r>
      <w:r>
        <w:rPr>
          <w:lang w:eastAsia="zh-CN"/>
        </w:rPr>
        <w:t>级）</w:t>
      </w:r>
      <w:r w:rsidR="00AC24B7">
        <w:rPr>
          <w:rFonts w:hint="eastAsia"/>
          <w:lang w:eastAsia="zh-CN"/>
        </w:rPr>
        <w:t>事先</w:t>
      </w:r>
      <w:r>
        <w:rPr>
          <w:lang w:eastAsia="zh-CN"/>
        </w:rPr>
        <w:t>用局部麻醉剂皮肤浸润（但建议进行术中伤口浸润，见下文）</w:t>
      </w:r>
    </w:p>
    <w:p w14:paraId="06D88F73" w14:textId="2E5D4214" w:rsidR="00FB1CC0" w:rsidRPr="00FB1CC0" w:rsidRDefault="00FB1CC0" w:rsidP="00FB1CC0">
      <w:pPr>
        <w:numPr>
          <w:ilvl w:val="0"/>
          <w:numId w:val="2"/>
        </w:numPr>
        <w:spacing w:line="240" w:lineRule="auto"/>
        <w:rPr>
          <w:lang w:eastAsia="zh-CN"/>
        </w:rPr>
      </w:pPr>
      <w:r>
        <w:rPr>
          <w:lang w:eastAsia="zh-CN"/>
        </w:rPr>
        <w:t>顺势</w:t>
      </w:r>
      <w:r w:rsidR="00AC24B7">
        <w:rPr>
          <w:lang w:eastAsia="zh-CN"/>
        </w:rPr>
        <w:t>山金车</w:t>
      </w:r>
      <w:r>
        <w:rPr>
          <w:lang w:eastAsia="zh-CN"/>
        </w:rPr>
        <w:t>疗法和自我放松技术（</w:t>
      </w:r>
      <w:r>
        <w:rPr>
          <w:lang w:eastAsia="zh-CN"/>
        </w:rPr>
        <w:t>A</w:t>
      </w:r>
      <w:r>
        <w:rPr>
          <w:lang w:eastAsia="zh-CN"/>
        </w:rPr>
        <w:t>级）</w:t>
      </w:r>
    </w:p>
    <w:p w14:paraId="3D03D43E" w14:textId="77777777" w:rsidR="00FB1CC0" w:rsidRPr="00FB1CC0" w:rsidRDefault="00FB1CC0" w:rsidP="00FB1CC0">
      <w:pPr>
        <w:spacing w:line="240" w:lineRule="auto"/>
      </w:pPr>
      <w:r>
        <w:rPr>
          <w:b/>
          <w:bCs/>
          <w:i/>
          <w:iCs/>
          <w:lang w:eastAsia="zh-CN"/>
        </w:rPr>
        <w:t>建议</w:t>
      </w:r>
      <w:r>
        <w:rPr>
          <w:b/>
          <w:bCs/>
          <w:lang w:eastAsia="zh-CN"/>
        </w:rPr>
        <w:t>用于术中：</w:t>
      </w:r>
    </w:p>
    <w:p w14:paraId="56F22178" w14:textId="4ABCCAB6" w:rsidR="00FB1CC0" w:rsidRPr="00FB1CC0" w:rsidRDefault="00FB1CC0" w:rsidP="00FB1CC0">
      <w:pPr>
        <w:numPr>
          <w:ilvl w:val="0"/>
          <w:numId w:val="3"/>
        </w:numPr>
        <w:spacing w:line="240" w:lineRule="auto"/>
        <w:rPr>
          <w:lang w:eastAsia="zh-CN"/>
        </w:rPr>
      </w:pPr>
      <w:r>
        <w:rPr>
          <w:b/>
          <w:bCs/>
          <w:lang w:eastAsia="zh-CN"/>
        </w:rPr>
        <w:t>对于低风险患者，全身麻醉或单剂量麻醉（有或无轻度全身麻醉）（</w:t>
      </w:r>
      <w:r>
        <w:rPr>
          <w:b/>
          <w:bCs/>
          <w:lang w:eastAsia="zh-CN"/>
        </w:rPr>
        <w:t>D</w:t>
      </w:r>
      <w:r>
        <w:rPr>
          <w:b/>
          <w:bCs/>
          <w:lang w:eastAsia="zh-CN"/>
        </w:rPr>
        <w:t>级）</w:t>
      </w:r>
      <w:r>
        <w:rPr>
          <w:b/>
          <w:bCs/>
          <w:lang w:eastAsia="zh-CN"/>
        </w:rPr>
        <w:t xml:space="preserve"> </w:t>
      </w:r>
    </w:p>
    <w:p w14:paraId="21FAD55B" w14:textId="22A85C6B" w:rsidR="00FB1CC0" w:rsidRPr="00FB1CC0" w:rsidRDefault="00FB1CC0" w:rsidP="00FB1CC0">
      <w:pPr>
        <w:numPr>
          <w:ilvl w:val="0"/>
          <w:numId w:val="3"/>
        </w:numPr>
        <w:spacing w:line="240" w:lineRule="auto"/>
        <w:rPr>
          <w:lang w:eastAsia="zh-CN"/>
        </w:rPr>
      </w:pPr>
      <w:r>
        <w:rPr>
          <w:b/>
          <w:bCs/>
          <w:lang w:eastAsia="zh-CN"/>
        </w:rPr>
        <w:t>对于高危患者，硬膜外麻醉联合轻度全身麻醉或</w:t>
      </w:r>
      <w:r w:rsidR="00AC24B7">
        <w:rPr>
          <w:rFonts w:hint="eastAsia"/>
          <w:b/>
          <w:bCs/>
          <w:lang w:eastAsia="zh-CN"/>
        </w:rPr>
        <w:t>腰硬</w:t>
      </w:r>
      <w:r>
        <w:rPr>
          <w:b/>
          <w:bCs/>
          <w:lang w:eastAsia="zh-CN"/>
        </w:rPr>
        <w:t>联合麻醉（</w:t>
      </w:r>
      <w:r>
        <w:rPr>
          <w:b/>
          <w:bCs/>
          <w:lang w:eastAsia="zh-CN"/>
        </w:rPr>
        <w:t>A</w:t>
      </w:r>
      <w:r>
        <w:rPr>
          <w:b/>
          <w:bCs/>
          <w:lang w:eastAsia="zh-CN"/>
        </w:rPr>
        <w:t>级）</w:t>
      </w:r>
      <w:r>
        <w:rPr>
          <w:b/>
          <w:bCs/>
          <w:lang w:eastAsia="zh-CN"/>
        </w:rPr>
        <w:t xml:space="preserve"> </w:t>
      </w:r>
    </w:p>
    <w:p w14:paraId="2ED7D8F4" w14:textId="2FEE4B6A" w:rsidR="00FB1CC0" w:rsidRPr="00FB1CC0" w:rsidRDefault="00FB1CC0" w:rsidP="00FB1CC0">
      <w:pPr>
        <w:numPr>
          <w:ilvl w:val="0"/>
          <w:numId w:val="3"/>
        </w:numPr>
        <w:spacing w:line="240" w:lineRule="auto"/>
        <w:rPr>
          <w:lang w:eastAsia="zh-CN"/>
        </w:rPr>
      </w:pPr>
      <w:r>
        <w:rPr>
          <w:b/>
          <w:bCs/>
          <w:lang w:eastAsia="zh-CN"/>
        </w:rPr>
        <w:t>在足够的时间内给予</w:t>
      </w:r>
      <w:r w:rsidR="001977F6">
        <w:rPr>
          <w:b/>
          <w:bCs/>
          <w:lang w:eastAsia="zh-CN"/>
        </w:rPr>
        <w:t>强效</w:t>
      </w:r>
      <w:r>
        <w:rPr>
          <w:b/>
          <w:bCs/>
          <w:lang w:eastAsia="zh-CN"/>
        </w:rPr>
        <w:t>阿片类药物，以确保患者醒来时足够的镇痛（</w:t>
      </w:r>
      <w:r>
        <w:rPr>
          <w:b/>
          <w:bCs/>
          <w:lang w:eastAsia="zh-CN"/>
        </w:rPr>
        <w:t>A</w:t>
      </w:r>
      <w:r>
        <w:rPr>
          <w:b/>
          <w:bCs/>
          <w:lang w:eastAsia="zh-CN"/>
        </w:rPr>
        <w:t>级）</w:t>
      </w:r>
      <w:r>
        <w:rPr>
          <w:b/>
          <w:bCs/>
          <w:lang w:eastAsia="zh-CN"/>
        </w:rPr>
        <w:t xml:space="preserve"> </w:t>
      </w:r>
    </w:p>
    <w:p w14:paraId="29AADAC4" w14:textId="63CFF37A" w:rsidR="00FB1CC0" w:rsidRPr="00FB1CC0" w:rsidRDefault="00AC24B7" w:rsidP="00FB1CC0">
      <w:pPr>
        <w:numPr>
          <w:ilvl w:val="0"/>
          <w:numId w:val="3"/>
        </w:numPr>
        <w:spacing w:line="240" w:lineRule="auto"/>
        <w:rPr>
          <w:lang w:eastAsia="zh-CN"/>
        </w:rPr>
      </w:pPr>
      <w:r>
        <w:rPr>
          <w:rFonts w:hint="eastAsia"/>
          <w:b/>
          <w:bCs/>
          <w:lang w:eastAsia="zh-CN"/>
        </w:rPr>
        <w:t>缝</w:t>
      </w:r>
      <w:r w:rsidR="00FB1CC0">
        <w:rPr>
          <w:b/>
          <w:bCs/>
          <w:lang w:eastAsia="zh-CN"/>
        </w:rPr>
        <w:t>合前伤口浸润（</w:t>
      </w:r>
      <w:r w:rsidR="00FB1CC0">
        <w:rPr>
          <w:b/>
          <w:bCs/>
          <w:lang w:eastAsia="zh-CN"/>
        </w:rPr>
        <w:t>A</w:t>
      </w:r>
      <w:r w:rsidR="00FB1CC0">
        <w:rPr>
          <w:b/>
          <w:bCs/>
          <w:lang w:eastAsia="zh-CN"/>
        </w:rPr>
        <w:t>级）</w:t>
      </w:r>
      <w:r w:rsidR="00FB1CC0">
        <w:rPr>
          <w:b/>
          <w:bCs/>
          <w:lang w:eastAsia="zh-CN"/>
        </w:rPr>
        <w:t xml:space="preserve"> </w:t>
      </w:r>
    </w:p>
    <w:p w14:paraId="1A9747AE" w14:textId="4A372C3C" w:rsidR="00FB1CC0" w:rsidRPr="00FB1CC0" w:rsidRDefault="00AC24B7" w:rsidP="00FB1CC0">
      <w:pPr>
        <w:numPr>
          <w:ilvl w:val="0"/>
          <w:numId w:val="3"/>
        </w:numPr>
        <w:spacing w:line="240" w:lineRule="auto"/>
        <w:rPr>
          <w:lang w:eastAsia="zh-CN"/>
        </w:rPr>
      </w:pPr>
      <w:r>
        <w:rPr>
          <w:b/>
          <w:bCs/>
          <w:lang w:eastAsia="zh-CN"/>
        </w:rPr>
        <w:t>在手术要求允许的情况下</w:t>
      </w:r>
      <w:r>
        <w:rPr>
          <w:rFonts w:hint="eastAsia"/>
          <w:b/>
          <w:bCs/>
          <w:lang w:eastAsia="zh-CN"/>
        </w:rPr>
        <w:t>，采用</w:t>
      </w:r>
      <w:r w:rsidR="00FB1CC0">
        <w:rPr>
          <w:b/>
          <w:bCs/>
          <w:lang w:eastAsia="zh-CN"/>
        </w:rPr>
        <w:t>腹腔镜辅助经阴道全子宫切除术（</w:t>
      </w:r>
      <w:r w:rsidR="00FB1CC0">
        <w:rPr>
          <w:b/>
          <w:bCs/>
          <w:lang w:eastAsia="zh-CN"/>
        </w:rPr>
        <w:t>LAVH</w:t>
      </w:r>
      <w:r w:rsidR="00FB1CC0">
        <w:rPr>
          <w:b/>
          <w:bCs/>
          <w:lang w:eastAsia="zh-CN"/>
        </w:rPr>
        <w:t>）或阴式子宫切除术（</w:t>
      </w:r>
      <w:r w:rsidR="00FB1CC0">
        <w:rPr>
          <w:b/>
          <w:bCs/>
          <w:lang w:eastAsia="zh-CN"/>
        </w:rPr>
        <w:t>VH</w:t>
      </w:r>
      <w:r w:rsidR="00FB1CC0">
        <w:rPr>
          <w:b/>
          <w:bCs/>
          <w:lang w:eastAsia="zh-CN"/>
        </w:rPr>
        <w:t>）</w:t>
      </w:r>
      <w:r>
        <w:rPr>
          <w:rFonts w:hint="eastAsia"/>
          <w:b/>
          <w:bCs/>
          <w:lang w:eastAsia="zh-CN"/>
        </w:rPr>
        <w:t>，</w:t>
      </w:r>
      <w:r w:rsidR="00FB1CC0">
        <w:rPr>
          <w:b/>
          <w:bCs/>
          <w:lang w:eastAsia="zh-CN"/>
        </w:rPr>
        <w:t>而不是</w:t>
      </w:r>
      <w:r>
        <w:rPr>
          <w:rFonts w:hint="eastAsia"/>
          <w:b/>
          <w:bCs/>
          <w:lang w:eastAsia="zh-CN"/>
        </w:rPr>
        <w:t>经</w:t>
      </w:r>
      <w:r w:rsidR="00FB1CC0">
        <w:rPr>
          <w:b/>
          <w:bCs/>
          <w:lang w:eastAsia="zh-CN"/>
        </w:rPr>
        <w:t>腹子宫切除术</w:t>
      </w:r>
      <w:r w:rsidR="00FB1CC0">
        <w:rPr>
          <w:b/>
          <w:bCs/>
          <w:lang w:eastAsia="zh-CN"/>
        </w:rPr>
        <w:t>——</w:t>
      </w:r>
      <w:r w:rsidR="00FB1CC0">
        <w:rPr>
          <w:b/>
          <w:bCs/>
          <w:lang w:eastAsia="zh-CN"/>
        </w:rPr>
        <w:t>（基于技术可行性、患者对子宫切除术的适应症和危险因素）（</w:t>
      </w:r>
      <w:r w:rsidR="00FB1CC0">
        <w:rPr>
          <w:b/>
          <w:bCs/>
          <w:lang w:eastAsia="zh-CN"/>
        </w:rPr>
        <w:t>A</w:t>
      </w:r>
      <w:r w:rsidR="00FB1CC0">
        <w:rPr>
          <w:b/>
          <w:bCs/>
          <w:lang w:eastAsia="zh-CN"/>
        </w:rPr>
        <w:t>级）</w:t>
      </w:r>
      <w:r w:rsidR="00FB1CC0">
        <w:rPr>
          <w:b/>
          <w:bCs/>
          <w:lang w:eastAsia="zh-CN"/>
        </w:rPr>
        <w:t xml:space="preserve"> </w:t>
      </w:r>
    </w:p>
    <w:p w14:paraId="38A593B6" w14:textId="41A8C70C" w:rsidR="00FB1CC0" w:rsidRPr="00FB1CC0" w:rsidRDefault="00AC24B7" w:rsidP="00FB1CC0">
      <w:pPr>
        <w:numPr>
          <w:ilvl w:val="0"/>
          <w:numId w:val="3"/>
        </w:numPr>
        <w:spacing w:line="240" w:lineRule="auto"/>
        <w:rPr>
          <w:lang w:eastAsia="zh-CN"/>
        </w:rPr>
      </w:pPr>
      <w:r>
        <w:rPr>
          <w:b/>
          <w:bCs/>
          <w:lang w:eastAsia="zh-CN"/>
        </w:rPr>
        <w:t>在手术要求允许的情况下</w:t>
      </w:r>
      <w:r>
        <w:rPr>
          <w:rFonts w:hint="eastAsia"/>
          <w:b/>
          <w:bCs/>
          <w:lang w:eastAsia="zh-CN"/>
        </w:rPr>
        <w:t>，采用</w:t>
      </w:r>
      <w:r w:rsidR="00FB1CC0">
        <w:rPr>
          <w:b/>
          <w:bCs/>
          <w:lang w:eastAsia="zh-CN"/>
        </w:rPr>
        <w:t>Pfannenstiel</w:t>
      </w:r>
      <w:r w:rsidR="00FB1CC0">
        <w:rPr>
          <w:b/>
          <w:bCs/>
          <w:lang w:eastAsia="zh-CN"/>
        </w:rPr>
        <w:t>切口</w:t>
      </w:r>
      <w:r w:rsidR="00FB1CC0">
        <w:rPr>
          <w:b/>
          <w:bCs/>
          <w:lang w:eastAsia="zh-CN"/>
        </w:rPr>
        <w:t>——</w:t>
      </w:r>
      <w:r w:rsidR="00FB1CC0">
        <w:rPr>
          <w:b/>
          <w:bCs/>
          <w:lang w:eastAsia="zh-CN"/>
        </w:rPr>
        <w:t>（基于技术可行性、患者对子宫切除术的适应症和危险因素）（</w:t>
      </w:r>
      <w:r w:rsidR="00FB1CC0">
        <w:rPr>
          <w:b/>
          <w:bCs/>
          <w:lang w:eastAsia="zh-CN"/>
        </w:rPr>
        <w:t>B</w:t>
      </w:r>
      <w:r w:rsidR="00FB1CC0">
        <w:rPr>
          <w:b/>
          <w:bCs/>
          <w:lang w:eastAsia="zh-CN"/>
        </w:rPr>
        <w:t>级）</w:t>
      </w:r>
      <w:r w:rsidR="00FB1CC0">
        <w:rPr>
          <w:b/>
          <w:bCs/>
          <w:lang w:eastAsia="zh-CN"/>
        </w:rPr>
        <w:t xml:space="preserve"> </w:t>
      </w:r>
    </w:p>
    <w:p w14:paraId="43207B1E" w14:textId="02E8FB9E" w:rsidR="00FB1CC0" w:rsidRPr="00FB1CC0" w:rsidRDefault="00AC24B7" w:rsidP="00FB1CC0">
      <w:pPr>
        <w:numPr>
          <w:ilvl w:val="0"/>
          <w:numId w:val="3"/>
        </w:numPr>
        <w:spacing w:line="240" w:lineRule="auto"/>
      </w:pPr>
      <w:r>
        <w:rPr>
          <w:rFonts w:hint="eastAsia"/>
          <w:b/>
          <w:bCs/>
          <w:lang w:eastAsia="zh-CN"/>
        </w:rPr>
        <w:t>使用电刀</w:t>
      </w:r>
      <w:r w:rsidR="00FB1CC0">
        <w:rPr>
          <w:b/>
          <w:bCs/>
          <w:lang w:eastAsia="zh-CN"/>
        </w:rPr>
        <w:t>（</w:t>
      </w:r>
      <w:r w:rsidR="00FB1CC0">
        <w:rPr>
          <w:b/>
          <w:bCs/>
          <w:lang w:eastAsia="zh-CN"/>
        </w:rPr>
        <w:t>B</w:t>
      </w:r>
      <w:r w:rsidR="00FB1CC0">
        <w:rPr>
          <w:b/>
          <w:bCs/>
          <w:lang w:eastAsia="zh-CN"/>
        </w:rPr>
        <w:t>级）</w:t>
      </w:r>
      <w:r w:rsidR="00FB1CC0">
        <w:rPr>
          <w:b/>
          <w:bCs/>
          <w:lang w:eastAsia="zh-CN"/>
        </w:rPr>
        <w:t xml:space="preserve"> </w:t>
      </w:r>
    </w:p>
    <w:p w14:paraId="50200B1C" w14:textId="3F099139" w:rsidR="00FB1CC0" w:rsidRPr="00FB1CC0" w:rsidRDefault="00FB1CC0" w:rsidP="00FB1CC0">
      <w:pPr>
        <w:numPr>
          <w:ilvl w:val="0"/>
          <w:numId w:val="3"/>
        </w:numPr>
        <w:spacing w:line="240" w:lineRule="auto"/>
        <w:rPr>
          <w:lang w:eastAsia="zh-CN"/>
        </w:rPr>
      </w:pPr>
      <w:r>
        <w:rPr>
          <w:b/>
          <w:bCs/>
          <w:lang w:eastAsia="zh-CN"/>
        </w:rPr>
        <w:t>对于高危患者，</w:t>
      </w:r>
      <w:r w:rsidR="00AC24B7">
        <w:rPr>
          <w:rFonts w:hint="eastAsia"/>
          <w:b/>
          <w:bCs/>
          <w:lang w:eastAsia="zh-CN"/>
        </w:rPr>
        <w:t>采用主动保温技术</w:t>
      </w:r>
      <w:r>
        <w:rPr>
          <w:b/>
          <w:bCs/>
          <w:lang w:eastAsia="zh-CN"/>
        </w:rPr>
        <w:t>（</w:t>
      </w:r>
      <w:r>
        <w:rPr>
          <w:b/>
          <w:bCs/>
          <w:lang w:eastAsia="zh-CN"/>
        </w:rPr>
        <w:t>A</w:t>
      </w:r>
      <w:r>
        <w:rPr>
          <w:b/>
          <w:bCs/>
          <w:lang w:eastAsia="zh-CN"/>
        </w:rPr>
        <w:t>级）</w:t>
      </w:r>
      <w:r>
        <w:rPr>
          <w:b/>
          <w:bCs/>
          <w:lang w:eastAsia="zh-CN"/>
        </w:rPr>
        <w:t xml:space="preserve"> </w:t>
      </w:r>
    </w:p>
    <w:p w14:paraId="78570982" w14:textId="77777777" w:rsidR="00FB1CC0" w:rsidRPr="00FB1CC0" w:rsidRDefault="00FB1CC0" w:rsidP="00FB1CC0">
      <w:pPr>
        <w:numPr>
          <w:ilvl w:val="0"/>
          <w:numId w:val="3"/>
        </w:numPr>
        <w:spacing w:line="240" w:lineRule="auto"/>
      </w:pPr>
      <w:r>
        <w:rPr>
          <w:b/>
          <w:bCs/>
          <w:lang w:eastAsia="zh-CN"/>
        </w:rPr>
        <w:t>术中音乐（</w:t>
      </w:r>
      <w:r>
        <w:rPr>
          <w:b/>
          <w:bCs/>
          <w:lang w:eastAsia="zh-CN"/>
        </w:rPr>
        <w:t>A</w:t>
      </w:r>
      <w:r>
        <w:rPr>
          <w:b/>
          <w:bCs/>
          <w:lang w:eastAsia="zh-CN"/>
        </w:rPr>
        <w:t>级）</w:t>
      </w:r>
    </w:p>
    <w:p w14:paraId="3E14C659" w14:textId="77777777" w:rsidR="00FB1CC0" w:rsidRPr="00FB1CC0" w:rsidRDefault="00FB1CC0" w:rsidP="00FB1CC0">
      <w:pPr>
        <w:spacing w:line="240" w:lineRule="auto"/>
      </w:pPr>
      <w:r>
        <w:rPr>
          <w:i/>
          <w:iCs/>
          <w:lang w:eastAsia="zh-CN"/>
        </w:rPr>
        <w:t>不建议：</w:t>
      </w:r>
      <w:r>
        <w:rPr>
          <w:lang w:eastAsia="zh-CN"/>
        </w:rPr>
        <w:t xml:space="preserve"> </w:t>
      </w:r>
    </w:p>
    <w:p w14:paraId="3E0A2391" w14:textId="6D1513B8" w:rsidR="00FB1CC0" w:rsidRPr="00FB1CC0" w:rsidRDefault="00FB1CC0" w:rsidP="00FB1CC0">
      <w:pPr>
        <w:numPr>
          <w:ilvl w:val="0"/>
          <w:numId w:val="4"/>
        </w:numPr>
        <w:spacing w:line="240" w:lineRule="auto"/>
        <w:rPr>
          <w:lang w:eastAsia="zh-CN"/>
        </w:rPr>
      </w:pPr>
      <w:r>
        <w:rPr>
          <w:lang w:eastAsia="zh-CN"/>
        </w:rPr>
        <w:t>将单剂量硬膜外</w:t>
      </w:r>
      <w:r w:rsidR="00AC24B7">
        <w:rPr>
          <w:rFonts w:hint="eastAsia"/>
          <w:lang w:eastAsia="zh-CN"/>
        </w:rPr>
        <w:t>给药</w:t>
      </w:r>
      <w:r>
        <w:rPr>
          <w:lang w:eastAsia="zh-CN"/>
        </w:rPr>
        <w:t>用于术后镇痛（</w:t>
      </w:r>
      <w:r>
        <w:rPr>
          <w:lang w:eastAsia="zh-CN"/>
        </w:rPr>
        <w:t>A</w:t>
      </w:r>
      <w:r>
        <w:rPr>
          <w:lang w:eastAsia="zh-CN"/>
        </w:rPr>
        <w:t>级）</w:t>
      </w:r>
    </w:p>
    <w:p w14:paraId="26034659" w14:textId="77777777" w:rsidR="00FB1CC0" w:rsidRPr="00FB1CC0" w:rsidRDefault="00FB1CC0" w:rsidP="00FB1CC0">
      <w:pPr>
        <w:numPr>
          <w:ilvl w:val="0"/>
          <w:numId w:val="4"/>
        </w:numPr>
        <w:spacing w:line="240" w:lineRule="auto"/>
        <w:rPr>
          <w:lang w:eastAsia="zh-CN"/>
        </w:rPr>
      </w:pPr>
      <w:r>
        <w:rPr>
          <w:lang w:eastAsia="zh-CN"/>
        </w:rPr>
        <w:t>腺苷、</w:t>
      </w:r>
      <w:r>
        <w:rPr>
          <w:lang w:eastAsia="zh-CN"/>
        </w:rPr>
        <w:t>NMDA</w:t>
      </w:r>
      <w:r>
        <w:rPr>
          <w:lang w:eastAsia="zh-CN"/>
        </w:rPr>
        <w:t>受体拮抗剂、苯二氮卓类或色氨酸（均为</w:t>
      </w:r>
      <w:r>
        <w:rPr>
          <w:lang w:eastAsia="zh-CN"/>
        </w:rPr>
        <w:t>A</w:t>
      </w:r>
      <w:r>
        <w:rPr>
          <w:lang w:eastAsia="zh-CN"/>
        </w:rPr>
        <w:t>级）</w:t>
      </w:r>
    </w:p>
    <w:p w14:paraId="66AE818C" w14:textId="77371A78" w:rsidR="00FB1CC0" w:rsidRPr="00FB1CC0" w:rsidRDefault="00FB1CC0" w:rsidP="00FB1CC0">
      <w:pPr>
        <w:numPr>
          <w:ilvl w:val="0"/>
          <w:numId w:val="4"/>
        </w:numPr>
        <w:spacing w:line="240" w:lineRule="auto"/>
      </w:pPr>
      <w:r>
        <w:rPr>
          <w:lang w:eastAsia="zh-CN"/>
        </w:rPr>
        <w:lastRenderedPageBreak/>
        <w:t>腹腔内镇痛</w:t>
      </w:r>
      <w:r w:rsidR="00AC24B7">
        <w:rPr>
          <w:rFonts w:hint="eastAsia"/>
          <w:lang w:eastAsia="zh-CN"/>
        </w:rPr>
        <w:t>药</w:t>
      </w:r>
      <w:r>
        <w:rPr>
          <w:lang w:eastAsia="zh-CN"/>
        </w:rPr>
        <w:t>（</w:t>
      </w:r>
      <w:r>
        <w:rPr>
          <w:lang w:eastAsia="zh-CN"/>
        </w:rPr>
        <w:t>A</w:t>
      </w:r>
      <w:r>
        <w:rPr>
          <w:lang w:eastAsia="zh-CN"/>
        </w:rPr>
        <w:t>级）</w:t>
      </w:r>
    </w:p>
    <w:p w14:paraId="4FACC10F" w14:textId="5CA26CC8" w:rsidR="00FB1CC0" w:rsidRPr="00FB1CC0" w:rsidRDefault="00AC24B7" w:rsidP="00FB1CC0">
      <w:pPr>
        <w:numPr>
          <w:ilvl w:val="0"/>
          <w:numId w:val="4"/>
        </w:numPr>
        <w:spacing w:line="240" w:lineRule="auto"/>
        <w:rPr>
          <w:lang w:eastAsia="zh-CN"/>
        </w:rPr>
      </w:pPr>
      <w:r>
        <w:rPr>
          <w:rFonts w:hint="eastAsia"/>
          <w:lang w:eastAsia="zh-CN"/>
        </w:rPr>
        <w:t>不</w:t>
      </w:r>
      <w:r w:rsidR="00FB1CC0">
        <w:rPr>
          <w:lang w:eastAsia="zh-CN"/>
        </w:rPr>
        <w:t>缝合腹膜、湿膜敷料（</w:t>
      </w:r>
      <w:r w:rsidR="00FB1CC0">
        <w:rPr>
          <w:lang w:eastAsia="zh-CN"/>
        </w:rPr>
        <w:t>A</w:t>
      </w:r>
      <w:r w:rsidR="00FB1CC0">
        <w:rPr>
          <w:lang w:eastAsia="zh-CN"/>
        </w:rPr>
        <w:t>级）或手术引流（</w:t>
      </w:r>
      <w:r w:rsidR="00FB1CC0">
        <w:rPr>
          <w:lang w:eastAsia="zh-CN"/>
        </w:rPr>
        <w:t>D</w:t>
      </w:r>
      <w:r w:rsidR="00FB1CC0">
        <w:rPr>
          <w:lang w:eastAsia="zh-CN"/>
        </w:rPr>
        <w:t>级）</w:t>
      </w:r>
    </w:p>
    <w:p w14:paraId="31773730" w14:textId="5E342712" w:rsidR="00FB1CC0" w:rsidRPr="00FB1CC0" w:rsidRDefault="001977F6" w:rsidP="00FB1CC0">
      <w:pPr>
        <w:numPr>
          <w:ilvl w:val="0"/>
          <w:numId w:val="4"/>
        </w:numPr>
        <w:spacing w:line="240" w:lineRule="auto"/>
        <w:rPr>
          <w:lang w:eastAsia="zh-CN"/>
        </w:rPr>
      </w:pPr>
      <w:r>
        <w:rPr>
          <w:rFonts w:hint="eastAsia"/>
          <w:lang w:eastAsia="zh-CN"/>
        </w:rPr>
        <w:t>提示性</w:t>
      </w:r>
      <w:r w:rsidR="00FB1CC0">
        <w:rPr>
          <w:lang w:eastAsia="zh-CN"/>
        </w:rPr>
        <w:t>治疗或电针（均为</w:t>
      </w:r>
      <w:r w:rsidR="00FB1CC0">
        <w:rPr>
          <w:lang w:eastAsia="zh-CN"/>
        </w:rPr>
        <w:t>A</w:t>
      </w:r>
      <w:r w:rsidR="00FB1CC0">
        <w:rPr>
          <w:lang w:eastAsia="zh-CN"/>
        </w:rPr>
        <w:t>级）</w:t>
      </w:r>
    </w:p>
    <w:p w14:paraId="458D0501" w14:textId="77777777" w:rsidR="00FB1CC0" w:rsidRPr="00FB1CC0" w:rsidRDefault="00FB1CC0" w:rsidP="00FB1CC0">
      <w:pPr>
        <w:spacing w:line="240" w:lineRule="auto"/>
      </w:pPr>
      <w:r>
        <w:rPr>
          <w:b/>
          <w:bCs/>
          <w:i/>
          <w:iCs/>
          <w:lang w:eastAsia="zh-CN"/>
        </w:rPr>
        <w:t>建议</w:t>
      </w:r>
      <w:r>
        <w:rPr>
          <w:b/>
          <w:bCs/>
          <w:lang w:eastAsia="zh-CN"/>
        </w:rPr>
        <w:t>用于术后：</w:t>
      </w:r>
    </w:p>
    <w:p w14:paraId="4E05C5AA" w14:textId="51605DBA" w:rsidR="00FB1CC0" w:rsidRPr="00FB1CC0" w:rsidRDefault="00FB1CC0" w:rsidP="00FB1CC0">
      <w:pPr>
        <w:numPr>
          <w:ilvl w:val="0"/>
          <w:numId w:val="5"/>
        </w:numPr>
        <w:spacing w:line="240" w:lineRule="auto"/>
        <w:rPr>
          <w:lang w:eastAsia="zh-CN"/>
        </w:rPr>
      </w:pPr>
      <w:r>
        <w:rPr>
          <w:b/>
          <w:bCs/>
          <w:lang w:eastAsia="zh-CN"/>
        </w:rPr>
        <w:t>COX-2</w:t>
      </w:r>
      <w:r>
        <w:rPr>
          <w:b/>
          <w:bCs/>
          <w:lang w:eastAsia="zh-CN"/>
        </w:rPr>
        <w:t>选择性抑制剂或常规非甾体抗炎药与</w:t>
      </w:r>
      <w:r w:rsidR="001977F6">
        <w:rPr>
          <w:b/>
          <w:bCs/>
          <w:lang w:eastAsia="zh-CN"/>
        </w:rPr>
        <w:t>强效</w:t>
      </w:r>
      <w:r>
        <w:rPr>
          <w:b/>
          <w:bCs/>
          <w:lang w:eastAsia="zh-CN"/>
        </w:rPr>
        <w:t>阿片类药物联合用于高强度疼痛（</w:t>
      </w:r>
      <w:r>
        <w:rPr>
          <w:b/>
          <w:bCs/>
          <w:lang w:eastAsia="zh-CN"/>
        </w:rPr>
        <w:t>VAS = 50</w:t>
      </w:r>
      <w:r>
        <w:rPr>
          <w:b/>
          <w:bCs/>
          <w:lang w:eastAsia="zh-CN"/>
        </w:rPr>
        <w:t>），或</w:t>
      </w:r>
      <w:r w:rsidR="001977F6">
        <w:rPr>
          <w:b/>
          <w:bCs/>
          <w:lang w:eastAsia="zh-CN"/>
        </w:rPr>
        <w:t>弱效</w:t>
      </w:r>
      <w:r>
        <w:rPr>
          <w:b/>
          <w:bCs/>
          <w:lang w:eastAsia="zh-CN"/>
        </w:rPr>
        <w:t>阿片类药物用于中度（</w:t>
      </w:r>
      <w:r>
        <w:rPr>
          <w:b/>
          <w:bCs/>
          <w:lang w:eastAsia="zh-CN"/>
        </w:rPr>
        <w:t>VAS&lt;50&gt;30</w:t>
      </w:r>
      <w:r>
        <w:rPr>
          <w:b/>
          <w:bCs/>
          <w:lang w:eastAsia="zh-CN"/>
        </w:rPr>
        <w:t>）或低强度疼痛（</w:t>
      </w:r>
      <w:r>
        <w:rPr>
          <w:b/>
          <w:bCs/>
          <w:lang w:eastAsia="zh-CN"/>
        </w:rPr>
        <w:t>VAS = 30</w:t>
      </w:r>
      <w:r>
        <w:rPr>
          <w:b/>
          <w:bCs/>
          <w:lang w:eastAsia="zh-CN"/>
        </w:rPr>
        <w:t>）（</w:t>
      </w:r>
      <w:r>
        <w:rPr>
          <w:b/>
          <w:bCs/>
          <w:lang w:eastAsia="zh-CN"/>
        </w:rPr>
        <w:t>A</w:t>
      </w:r>
      <w:r>
        <w:rPr>
          <w:b/>
          <w:bCs/>
          <w:lang w:eastAsia="zh-CN"/>
        </w:rPr>
        <w:t>级）</w:t>
      </w:r>
      <w:r>
        <w:rPr>
          <w:b/>
          <w:bCs/>
          <w:lang w:eastAsia="zh-CN"/>
        </w:rPr>
        <w:t xml:space="preserve"> </w:t>
      </w:r>
    </w:p>
    <w:p w14:paraId="4E7CDD7A" w14:textId="701D2E69" w:rsidR="00FB1CC0" w:rsidRPr="00FB1CC0" w:rsidRDefault="001977F6" w:rsidP="00FB1CC0">
      <w:pPr>
        <w:numPr>
          <w:ilvl w:val="0"/>
          <w:numId w:val="5"/>
        </w:numPr>
        <w:spacing w:line="240" w:lineRule="auto"/>
        <w:rPr>
          <w:lang w:eastAsia="zh-CN"/>
        </w:rPr>
      </w:pPr>
      <w:r>
        <w:rPr>
          <w:b/>
          <w:bCs/>
          <w:lang w:eastAsia="zh-CN"/>
        </w:rPr>
        <w:t>强效</w:t>
      </w:r>
      <w:r w:rsidR="00FB1CC0">
        <w:rPr>
          <w:b/>
          <w:bCs/>
          <w:lang w:eastAsia="zh-CN"/>
        </w:rPr>
        <w:t>阿片类药物，通过患者自控静脉镇痛或通过固定静脉剂量</w:t>
      </w:r>
      <w:r>
        <w:rPr>
          <w:rFonts w:hint="eastAsia"/>
          <w:b/>
          <w:bCs/>
          <w:lang w:eastAsia="zh-CN"/>
        </w:rPr>
        <w:t>调节</w:t>
      </w:r>
      <w:r w:rsidR="00FB1CC0">
        <w:rPr>
          <w:b/>
          <w:bCs/>
          <w:lang w:eastAsia="zh-CN"/>
        </w:rPr>
        <w:t>至疼痛强度（</w:t>
      </w:r>
      <w:r w:rsidR="00FB1CC0">
        <w:rPr>
          <w:b/>
          <w:bCs/>
          <w:lang w:eastAsia="zh-CN"/>
        </w:rPr>
        <w:t>A</w:t>
      </w:r>
      <w:r w:rsidR="00FB1CC0">
        <w:rPr>
          <w:b/>
          <w:bCs/>
          <w:lang w:eastAsia="zh-CN"/>
        </w:rPr>
        <w:t>级）</w:t>
      </w:r>
      <w:r w:rsidR="00FB1CC0">
        <w:rPr>
          <w:b/>
          <w:bCs/>
          <w:lang w:eastAsia="zh-CN"/>
        </w:rPr>
        <w:t xml:space="preserve"> </w:t>
      </w:r>
    </w:p>
    <w:p w14:paraId="27497F8B" w14:textId="77777777" w:rsidR="00FB1CC0" w:rsidRPr="00FB1CC0" w:rsidRDefault="00FB1CC0" w:rsidP="00FB1CC0">
      <w:pPr>
        <w:numPr>
          <w:ilvl w:val="0"/>
          <w:numId w:val="5"/>
        </w:numPr>
        <w:spacing w:line="240" w:lineRule="auto"/>
        <w:rPr>
          <w:lang w:eastAsia="zh-CN"/>
        </w:rPr>
      </w:pPr>
      <w:r>
        <w:rPr>
          <w:b/>
          <w:bCs/>
          <w:lang w:eastAsia="zh-CN"/>
        </w:rPr>
        <w:t>对中度（</w:t>
      </w:r>
      <w:r>
        <w:rPr>
          <w:b/>
          <w:bCs/>
          <w:lang w:eastAsia="zh-CN"/>
        </w:rPr>
        <w:t>VAS&gt; 30 &lt;50</w:t>
      </w:r>
      <w:r>
        <w:rPr>
          <w:b/>
          <w:bCs/>
          <w:lang w:eastAsia="zh-CN"/>
        </w:rPr>
        <w:t>）或低强度（</w:t>
      </w:r>
      <w:r>
        <w:rPr>
          <w:b/>
          <w:bCs/>
          <w:lang w:eastAsia="zh-CN"/>
        </w:rPr>
        <w:t>VAS = 30</w:t>
      </w:r>
      <w:r>
        <w:rPr>
          <w:b/>
          <w:bCs/>
          <w:lang w:eastAsia="zh-CN"/>
        </w:rPr>
        <w:t>）疼痛使用对乙酰氨基酚，与</w:t>
      </w:r>
      <w:r>
        <w:rPr>
          <w:b/>
          <w:bCs/>
          <w:lang w:eastAsia="zh-CN"/>
        </w:rPr>
        <w:t>COX-2</w:t>
      </w:r>
      <w:r>
        <w:rPr>
          <w:b/>
          <w:bCs/>
          <w:lang w:eastAsia="zh-CN"/>
        </w:rPr>
        <w:t>抑制剂或常规非甾体抗炎药联合使用（</w:t>
      </w:r>
      <w:r>
        <w:rPr>
          <w:b/>
          <w:bCs/>
          <w:lang w:eastAsia="zh-CN"/>
        </w:rPr>
        <w:t>A</w:t>
      </w:r>
      <w:r>
        <w:rPr>
          <w:b/>
          <w:bCs/>
          <w:lang w:eastAsia="zh-CN"/>
        </w:rPr>
        <w:t>级）</w:t>
      </w:r>
      <w:r>
        <w:rPr>
          <w:b/>
          <w:bCs/>
          <w:lang w:eastAsia="zh-CN"/>
        </w:rPr>
        <w:t xml:space="preserve"> </w:t>
      </w:r>
    </w:p>
    <w:p w14:paraId="49AEB264" w14:textId="2A8A5DF8" w:rsidR="00FB1CC0" w:rsidRPr="00FB1CC0" w:rsidRDefault="00FB1CC0" w:rsidP="00FB1CC0">
      <w:pPr>
        <w:numPr>
          <w:ilvl w:val="0"/>
          <w:numId w:val="5"/>
        </w:numPr>
        <w:spacing w:line="240" w:lineRule="auto"/>
        <w:rPr>
          <w:lang w:eastAsia="zh-CN"/>
        </w:rPr>
      </w:pPr>
      <w:r>
        <w:rPr>
          <w:b/>
          <w:bCs/>
          <w:lang w:eastAsia="zh-CN"/>
        </w:rPr>
        <w:t>为高危患者使用硬膜外镇痛（</w:t>
      </w:r>
      <w:r>
        <w:rPr>
          <w:b/>
          <w:bCs/>
          <w:lang w:eastAsia="zh-CN"/>
        </w:rPr>
        <w:t>A</w:t>
      </w:r>
      <w:r>
        <w:rPr>
          <w:b/>
          <w:bCs/>
          <w:lang w:eastAsia="zh-CN"/>
        </w:rPr>
        <w:t>级和</w:t>
      </w:r>
      <w:r>
        <w:rPr>
          <w:b/>
          <w:bCs/>
          <w:lang w:eastAsia="zh-CN"/>
        </w:rPr>
        <w:t>D</w:t>
      </w:r>
      <w:r>
        <w:rPr>
          <w:b/>
          <w:bCs/>
          <w:lang w:eastAsia="zh-CN"/>
        </w:rPr>
        <w:t>级）</w:t>
      </w:r>
    </w:p>
    <w:p w14:paraId="4DFE7753" w14:textId="77777777" w:rsidR="00FB1CC0" w:rsidRPr="00FB1CC0" w:rsidRDefault="00FB1CC0" w:rsidP="00FB1CC0">
      <w:pPr>
        <w:spacing w:line="240" w:lineRule="auto"/>
      </w:pPr>
      <w:r>
        <w:rPr>
          <w:i/>
          <w:iCs/>
          <w:lang w:eastAsia="zh-CN"/>
        </w:rPr>
        <w:t>不建议：</w:t>
      </w:r>
      <w:r>
        <w:rPr>
          <w:lang w:eastAsia="zh-CN"/>
        </w:rPr>
        <w:t xml:space="preserve"> </w:t>
      </w:r>
    </w:p>
    <w:p w14:paraId="3634928E" w14:textId="1943B542" w:rsidR="00FB1CC0" w:rsidRPr="00FB1CC0" w:rsidRDefault="00FB1CC0" w:rsidP="00FB1CC0">
      <w:pPr>
        <w:numPr>
          <w:ilvl w:val="0"/>
          <w:numId w:val="6"/>
        </w:numPr>
        <w:spacing w:line="240" w:lineRule="auto"/>
        <w:rPr>
          <w:lang w:eastAsia="zh-CN"/>
        </w:rPr>
      </w:pPr>
      <w:r>
        <w:rPr>
          <w:lang w:eastAsia="zh-CN"/>
        </w:rPr>
        <w:t>将硬膜外镇痛常规用于低风险患者（</w:t>
      </w:r>
      <w:r>
        <w:rPr>
          <w:lang w:eastAsia="zh-CN"/>
        </w:rPr>
        <w:t>D</w:t>
      </w:r>
      <w:r>
        <w:rPr>
          <w:lang w:eastAsia="zh-CN"/>
        </w:rPr>
        <w:t>级）</w:t>
      </w:r>
    </w:p>
    <w:p w14:paraId="19E71E8A" w14:textId="2CC33214" w:rsidR="00FB1CC0" w:rsidRPr="00FB1CC0" w:rsidRDefault="00FB1CC0" w:rsidP="00FB1CC0">
      <w:pPr>
        <w:numPr>
          <w:ilvl w:val="0"/>
          <w:numId w:val="6"/>
        </w:numPr>
        <w:spacing w:line="240" w:lineRule="auto"/>
        <w:rPr>
          <w:lang w:eastAsia="zh-CN"/>
        </w:rPr>
      </w:pPr>
      <w:r>
        <w:rPr>
          <w:lang w:eastAsia="zh-CN"/>
        </w:rPr>
        <w:t>重复</w:t>
      </w:r>
      <w:r w:rsidR="001977F6">
        <w:rPr>
          <w:rFonts w:hint="eastAsia"/>
          <w:lang w:eastAsia="zh-CN"/>
        </w:rPr>
        <w:t>使用腰麻</w:t>
      </w:r>
      <w:r>
        <w:rPr>
          <w:lang w:eastAsia="zh-CN"/>
        </w:rPr>
        <w:t>推注</w:t>
      </w:r>
      <w:r w:rsidR="001977F6">
        <w:rPr>
          <w:rFonts w:hint="eastAsia"/>
          <w:lang w:eastAsia="zh-CN"/>
        </w:rPr>
        <w:t>镇痛药</w:t>
      </w:r>
      <w:r>
        <w:rPr>
          <w:lang w:eastAsia="zh-CN"/>
        </w:rPr>
        <w:t>（</w:t>
      </w:r>
      <w:r>
        <w:rPr>
          <w:lang w:eastAsia="zh-CN"/>
        </w:rPr>
        <w:t>D</w:t>
      </w:r>
      <w:r>
        <w:rPr>
          <w:lang w:eastAsia="zh-CN"/>
        </w:rPr>
        <w:t>级）</w:t>
      </w:r>
    </w:p>
    <w:p w14:paraId="528B5C83" w14:textId="77777777" w:rsidR="00FB1CC0" w:rsidRPr="00FB1CC0" w:rsidRDefault="00FB1CC0" w:rsidP="00FB1CC0">
      <w:pPr>
        <w:numPr>
          <w:ilvl w:val="0"/>
          <w:numId w:val="6"/>
        </w:numPr>
        <w:spacing w:line="240" w:lineRule="auto"/>
        <w:rPr>
          <w:lang w:eastAsia="zh-CN"/>
        </w:rPr>
      </w:pPr>
      <w:r>
        <w:rPr>
          <w:lang w:eastAsia="zh-CN"/>
        </w:rPr>
        <w:t>使用硬膜外镇痛剂的同时给予</w:t>
      </w:r>
      <w:r>
        <w:rPr>
          <w:lang w:eastAsia="zh-CN"/>
        </w:rPr>
        <w:t>COX-2</w:t>
      </w:r>
      <w:r>
        <w:rPr>
          <w:lang w:eastAsia="zh-CN"/>
        </w:rPr>
        <w:t>选择性抑制剂或常规非甾体抗炎药（</w:t>
      </w:r>
      <w:r>
        <w:rPr>
          <w:lang w:eastAsia="zh-CN"/>
        </w:rPr>
        <w:t>B</w:t>
      </w:r>
      <w:r>
        <w:rPr>
          <w:lang w:eastAsia="zh-CN"/>
        </w:rPr>
        <w:t>级）</w:t>
      </w:r>
    </w:p>
    <w:p w14:paraId="4768F943" w14:textId="5764F431" w:rsidR="00FB1CC0" w:rsidRPr="00FB1CC0" w:rsidRDefault="00FB1CC0" w:rsidP="00FB1CC0">
      <w:pPr>
        <w:numPr>
          <w:ilvl w:val="0"/>
          <w:numId w:val="6"/>
        </w:numPr>
        <w:spacing w:line="240" w:lineRule="auto"/>
        <w:rPr>
          <w:lang w:eastAsia="zh-CN"/>
        </w:rPr>
      </w:pPr>
      <w:r>
        <w:rPr>
          <w:lang w:eastAsia="zh-CN"/>
        </w:rPr>
        <w:t>在</w:t>
      </w:r>
      <w:r>
        <w:rPr>
          <w:lang w:eastAsia="zh-CN"/>
        </w:rPr>
        <w:t>PCA</w:t>
      </w:r>
      <w:r>
        <w:rPr>
          <w:lang w:eastAsia="zh-CN"/>
        </w:rPr>
        <w:t>推注给药期间持续输注</w:t>
      </w:r>
      <w:r w:rsidR="001977F6">
        <w:rPr>
          <w:lang w:eastAsia="zh-CN"/>
        </w:rPr>
        <w:t>强效</w:t>
      </w:r>
      <w:r>
        <w:rPr>
          <w:lang w:eastAsia="zh-CN"/>
        </w:rPr>
        <w:t>阿片类药物（</w:t>
      </w:r>
      <w:r>
        <w:rPr>
          <w:lang w:eastAsia="zh-CN"/>
        </w:rPr>
        <w:t>D</w:t>
      </w:r>
      <w:r>
        <w:rPr>
          <w:lang w:eastAsia="zh-CN"/>
        </w:rPr>
        <w:t>级）</w:t>
      </w:r>
    </w:p>
    <w:p w14:paraId="212F59DB" w14:textId="56F8EE37" w:rsidR="00FB1CC0" w:rsidRPr="00FB1CC0" w:rsidRDefault="00FB1CC0" w:rsidP="00FB1CC0">
      <w:pPr>
        <w:numPr>
          <w:ilvl w:val="0"/>
          <w:numId w:val="6"/>
        </w:numPr>
        <w:spacing w:line="240" w:lineRule="auto"/>
        <w:rPr>
          <w:lang w:eastAsia="zh-CN"/>
        </w:rPr>
      </w:pPr>
      <w:r>
        <w:rPr>
          <w:lang w:eastAsia="zh-CN"/>
        </w:rPr>
        <w:t>通过肌肉注射给予</w:t>
      </w:r>
      <w:r w:rsidR="001977F6">
        <w:rPr>
          <w:lang w:eastAsia="zh-CN"/>
        </w:rPr>
        <w:t>强效</w:t>
      </w:r>
      <w:r>
        <w:rPr>
          <w:lang w:eastAsia="zh-CN"/>
        </w:rPr>
        <w:t>阿片类药物（</w:t>
      </w:r>
      <w:r>
        <w:rPr>
          <w:lang w:eastAsia="zh-CN"/>
        </w:rPr>
        <w:t>D</w:t>
      </w:r>
      <w:r>
        <w:rPr>
          <w:lang w:eastAsia="zh-CN"/>
        </w:rPr>
        <w:t>级）</w:t>
      </w:r>
    </w:p>
    <w:p w14:paraId="3096EA38" w14:textId="26D79BD5" w:rsidR="00FB1CC0" w:rsidRPr="00FB1CC0" w:rsidRDefault="00FB1CC0" w:rsidP="00FB1CC0">
      <w:pPr>
        <w:numPr>
          <w:ilvl w:val="0"/>
          <w:numId w:val="6"/>
        </w:numPr>
        <w:spacing w:line="240" w:lineRule="auto"/>
        <w:rPr>
          <w:lang w:eastAsia="zh-CN"/>
        </w:rPr>
      </w:pPr>
      <w:r>
        <w:rPr>
          <w:lang w:eastAsia="zh-CN"/>
        </w:rPr>
        <w:t>鼻内、缓释口服和透皮贴剂给予</w:t>
      </w:r>
      <w:r w:rsidR="001977F6">
        <w:rPr>
          <w:lang w:eastAsia="zh-CN"/>
        </w:rPr>
        <w:t>强效</w:t>
      </w:r>
      <w:r>
        <w:rPr>
          <w:lang w:eastAsia="zh-CN"/>
        </w:rPr>
        <w:t>阿片类药物（</w:t>
      </w:r>
      <w:r>
        <w:rPr>
          <w:lang w:eastAsia="zh-CN"/>
        </w:rPr>
        <w:t>D</w:t>
      </w:r>
      <w:r>
        <w:rPr>
          <w:lang w:eastAsia="zh-CN"/>
        </w:rPr>
        <w:t>级）</w:t>
      </w:r>
    </w:p>
    <w:p w14:paraId="28A44102" w14:textId="77777777" w:rsidR="00FB1CC0" w:rsidRPr="00FB1CC0" w:rsidRDefault="00FB1CC0" w:rsidP="00FB1CC0">
      <w:pPr>
        <w:numPr>
          <w:ilvl w:val="0"/>
          <w:numId w:val="6"/>
        </w:numPr>
        <w:spacing w:line="240" w:lineRule="auto"/>
        <w:rPr>
          <w:lang w:eastAsia="zh-CN"/>
        </w:rPr>
      </w:pPr>
      <w:r>
        <w:rPr>
          <w:lang w:eastAsia="zh-CN"/>
        </w:rPr>
        <w:t>将对乙酰氨基酚用于高强度疼痛（</w:t>
      </w:r>
      <w:r>
        <w:rPr>
          <w:lang w:eastAsia="zh-CN"/>
        </w:rPr>
        <w:t>VAS = 50 mm</w:t>
      </w:r>
      <w:r>
        <w:rPr>
          <w:lang w:eastAsia="zh-CN"/>
        </w:rPr>
        <w:t>）（</w:t>
      </w:r>
      <w:r>
        <w:rPr>
          <w:lang w:eastAsia="zh-CN"/>
        </w:rPr>
        <w:t>B</w:t>
      </w:r>
      <w:r>
        <w:rPr>
          <w:lang w:eastAsia="zh-CN"/>
        </w:rPr>
        <w:t>级）</w:t>
      </w:r>
    </w:p>
    <w:p w14:paraId="405EBB53" w14:textId="77777777" w:rsidR="00FB1CC0" w:rsidRPr="00FB1CC0" w:rsidRDefault="00FB1CC0" w:rsidP="00FB1CC0">
      <w:pPr>
        <w:numPr>
          <w:ilvl w:val="0"/>
          <w:numId w:val="6"/>
        </w:numPr>
        <w:spacing w:line="240" w:lineRule="auto"/>
        <w:rPr>
          <w:lang w:eastAsia="zh-CN"/>
        </w:rPr>
      </w:pPr>
      <w:r>
        <w:rPr>
          <w:lang w:eastAsia="zh-CN"/>
        </w:rPr>
        <w:t>NMDA</w:t>
      </w:r>
      <w:r>
        <w:rPr>
          <w:lang w:eastAsia="zh-CN"/>
        </w:rPr>
        <w:t>受体拮抗剂和苯二氮卓类药物（均为</w:t>
      </w:r>
      <w:r>
        <w:rPr>
          <w:lang w:eastAsia="zh-CN"/>
        </w:rPr>
        <w:t>A</w:t>
      </w:r>
      <w:r>
        <w:rPr>
          <w:lang w:eastAsia="zh-CN"/>
        </w:rPr>
        <w:t>级）</w:t>
      </w:r>
    </w:p>
    <w:p w14:paraId="0D453194" w14:textId="77777777" w:rsidR="00FB1CC0" w:rsidRPr="00FB1CC0" w:rsidRDefault="00FB1CC0" w:rsidP="00FB1CC0">
      <w:pPr>
        <w:numPr>
          <w:ilvl w:val="0"/>
          <w:numId w:val="6"/>
        </w:numPr>
        <w:spacing w:line="240" w:lineRule="auto"/>
        <w:rPr>
          <w:lang w:eastAsia="zh-CN"/>
        </w:rPr>
      </w:pPr>
      <w:r>
        <w:rPr>
          <w:lang w:eastAsia="zh-CN"/>
        </w:rPr>
        <w:t>可乐定、喷他佐辛、氯米帕明、</w:t>
      </w:r>
      <w:r>
        <w:rPr>
          <w:lang w:eastAsia="zh-CN"/>
        </w:rPr>
        <w:t>δ-9-</w:t>
      </w:r>
      <w:r>
        <w:rPr>
          <w:lang w:eastAsia="zh-CN"/>
        </w:rPr>
        <w:t>四氢大麻酚和纳洛酮（均为</w:t>
      </w:r>
      <w:r>
        <w:rPr>
          <w:lang w:eastAsia="zh-CN"/>
        </w:rPr>
        <w:t>A</w:t>
      </w:r>
      <w:r>
        <w:rPr>
          <w:lang w:eastAsia="zh-CN"/>
        </w:rPr>
        <w:t>级）</w:t>
      </w:r>
    </w:p>
    <w:p w14:paraId="328BA6C0" w14:textId="6FE44A4F" w:rsidR="00FB1CC0" w:rsidRPr="00FB1CC0" w:rsidRDefault="001977F6" w:rsidP="00FB1CC0">
      <w:pPr>
        <w:numPr>
          <w:ilvl w:val="0"/>
          <w:numId w:val="6"/>
        </w:numPr>
        <w:spacing w:line="240" w:lineRule="auto"/>
        <w:rPr>
          <w:lang w:eastAsia="zh-CN"/>
        </w:rPr>
      </w:pPr>
      <w:r>
        <w:rPr>
          <w:rFonts w:hint="eastAsia"/>
          <w:lang w:eastAsia="zh-CN"/>
        </w:rPr>
        <w:t>切口缝合</w:t>
      </w:r>
      <w:r w:rsidR="00FB1CC0">
        <w:rPr>
          <w:lang w:eastAsia="zh-CN"/>
        </w:rPr>
        <w:t>后局部麻醉药持续伤口浸润（</w:t>
      </w:r>
      <w:r w:rsidR="00FB1CC0">
        <w:rPr>
          <w:lang w:eastAsia="zh-CN"/>
        </w:rPr>
        <w:t>A</w:t>
      </w:r>
      <w:r w:rsidR="00FB1CC0">
        <w:rPr>
          <w:lang w:eastAsia="zh-CN"/>
        </w:rPr>
        <w:t>级）（尽管建议采用</w:t>
      </w:r>
      <w:r>
        <w:rPr>
          <w:rFonts w:hint="eastAsia"/>
          <w:lang w:eastAsia="zh-CN"/>
        </w:rPr>
        <w:t>切口缝合</w:t>
      </w:r>
      <w:r w:rsidR="00FB1CC0">
        <w:rPr>
          <w:rFonts w:hint="eastAsia"/>
          <w:lang w:eastAsia="zh-CN"/>
        </w:rPr>
        <w:t>前</w:t>
      </w:r>
      <w:r w:rsidR="00FB1CC0">
        <w:rPr>
          <w:lang w:eastAsia="zh-CN"/>
        </w:rPr>
        <w:t>伤口浸润，见上文）</w:t>
      </w:r>
    </w:p>
    <w:p w14:paraId="3288DF21" w14:textId="2403A69F" w:rsidR="00FB1CC0" w:rsidRPr="00FB1CC0" w:rsidRDefault="00FB1CC0" w:rsidP="00FB1CC0">
      <w:pPr>
        <w:numPr>
          <w:ilvl w:val="0"/>
          <w:numId w:val="6"/>
        </w:numPr>
        <w:spacing w:line="240" w:lineRule="auto"/>
        <w:rPr>
          <w:lang w:eastAsia="zh-CN"/>
        </w:rPr>
      </w:pPr>
      <w:r>
        <w:rPr>
          <w:lang w:eastAsia="zh-CN"/>
        </w:rPr>
        <w:t>麻醉后监测治疗室（</w:t>
      </w:r>
      <w:r>
        <w:rPr>
          <w:lang w:eastAsia="zh-CN"/>
        </w:rPr>
        <w:t>PACU</w:t>
      </w:r>
      <w:r>
        <w:rPr>
          <w:lang w:eastAsia="zh-CN"/>
        </w:rPr>
        <w:t>）音乐、顺势</w:t>
      </w:r>
      <w:r w:rsidR="001977F6">
        <w:rPr>
          <w:lang w:eastAsia="zh-CN"/>
        </w:rPr>
        <w:t>山金车</w:t>
      </w:r>
      <w:r>
        <w:rPr>
          <w:lang w:eastAsia="zh-CN"/>
        </w:rPr>
        <w:t>疗法或自我放松技术（均为</w:t>
      </w:r>
      <w:r>
        <w:rPr>
          <w:lang w:eastAsia="zh-CN"/>
        </w:rPr>
        <w:t>A</w:t>
      </w:r>
      <w:r>
        <w:rPr>
          <w:lang w:eastAsia="zh-CN"/>
        </w:rPr>
        <w:t>级）</w:t>
      </w:r>
    </w:p>
    <w:p w14:paraId="47E4C47D" w14:textId="3B1BE739" w:rsidR="00200555" w:rsidRPr="00FB1CC0" w:rsidRDefault="00FB1CC0" w:rsidP="00FB1CC0">
      <w:pPr>
        <w:spacing w:line="240" w:lineRule="auto"/>
        <w:rPr>
          <w:lang w:eastAsia="zh-CN"/>
        </w:rPr>
      </w:pPr>
      <w:r>
        <w:rPr>
          <w:b/>
          <w:bCs/>
          <w:lang w:eastAsia="zh-CN"/>
        </w:rPr>
        <w:t>有关</w:t>
      </w:r>
      <w:r w:rsidR="001977F6">
        <w:rPr>
          <w:rFonts w:hint="eastAsia"/>
          <w:b/>
          <w:bCs/>
          <w:lang w:eastAsia="zh-CN"/>
        </w:rPr>
        <w:t>经</w:t>
      </w:r>
      <w:r>
        <w:rPr>
          <w:b/>
          <w:bCs/>
          <w:lang w:eastAsia="zh-CN"/>
        </w:rPr>
        <w:t>腹子宫切除术后疼痛控制的总体策略，请参阅总体</w:t>
      </w:r>
      <w:r>
        <w:rPr>
          <w:b/>
          <w:bCs/>
          <w:lang w:eastAsia="zh-CN"/>
        </w:rPr>
        <w:t>PROSPECT</w:t>
      </w:r>
      <w:r>
        <w:rPr>
          <w:b/>
          <w:bCs/>
          <w:lang w:eastAsia="zh-CN"/>
        </w:rPr>
        <w:t>建议</w:t>
      </w:r>
    </w:p>
    <w:sectPr w:rsidR="00200555" w:rsidRPr="00FB1CC0" w:rsidSect="00472B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51489" w14:textId="77777777" w:rsidR="00C47DC9" w:rsidRDefault="00C47DC9" w:rsidP="000E4545">
      <w:pPr>
        <w:spacing w:after="0" w:line="240" w:lineRule="auto"/>
      </w:pPr>
      <w:r>
        <w:separator/>
      </w:r>
    </w:p>
  </w:endnote>
  <w:endnote w:type="continuationSeparator" w:id="0">
    <w:p w14:paraId="4B5C9CCE" w14:textId="77777777" w:rsidR="00C47DC9" w:rsidRDefault="00C47DC9" w:rsidP="000E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2D061" w14:textId="77777777" w:rsidR="00C47DC9" w:rsidRDefault="00C47DC9" w:rsidP="000E4545">
      <w:pPr>
        <w:spacing w:after="0" w:line="240" w:lineRule="auto"/>
      </w:pPr>
      <w:r>
        <w:separator/>
      </w:r>
    </w:p>
  </w:footnote>
  <w:footnote w:type="continuationSeparator" w:id="0">
    <w:p w14:paraId="1E9447A5" w14:textId="77777777" w:rsidR="00C47DC9" w:rsidRDefault="00C47DC9" w:rsidP="000E4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571"/>
    <w:multiLevelType w:val="multilevel"/>
    <w:tmpl w:val="3C3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90BC6"/>
    <w:multiLevelType w:val="multilevel"/>
    <w:tmpl w:val="9722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979EA"/>
    <w:multiLevelType w:val="multilevel"/>
    <w:tmpl w:val="967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57331"/>
    <w:multiLevelType w:val="multilevel"/>
    <w:tmpl w:val="E25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56535"/>
    <w:multiLevelType w:val="multilevel"/>
    <w:tmpl w:val="0170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E3A8D"/>
    <w:multiLevelType w:val="multilevel"/>
    <w:tmpl w:val="08F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C0"/>
    <w:rsid w:val="000E4545"/>
    <w:rsid w:val="001977F6"/>
    <w:rsid w:val="00200555"/>
    <w:rsid w:val="00472BFE"/>
    <w:rsid w:val="00490355"/>
    <w:rsid w:val="00AC24B7"/>
    <w:rsid w:val="00AF4FCE"/>
    <w:rsid w:val="00C47DC9"/>
    <w:rsid w:val="00C646EF"/>
    <w:rsid w:val="00FB1CC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97D3B"/>
  <w15:docId w15:val="{57B763AF-95ED-4145-826C-0952A3EC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2B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1CC0"/>
    <w:rPr>
      <w:color w:val="0563C1" w:themeColor="hyperlink"/>
      <w:u w:val="single"/>
    </w:rPr>
  </w:style>
  <w:style w:type="paragraph" w:styleId="Koptekst">
    <w:name w:val="header"/>
    <w:basedOn w:val="Standaard"/>
    <w:link w:val="KoptekstChar"/>
    <w:uiPriority w:val="99"/>
    <w:unhideWhenUsed/>
    <w:rsid w:val="000E4545"/>
    <w:pPr>
      <w:pBdr>
        <w:bottom w:val="single" w:sz="6" w:space="1" w:color="auto"/>
      </w:pBdr>
      <w:tabs>
        <w:tab w:val="center" w:pos="4153"/>
        <w:tab w:val="right" w:pos="8306"/>
      </w:tabs>
      <w:snapToGrid w:val="0"/>
      <w:spacing w:line="240" w:lineRule="auto"/>
      <w:jc w:val="center"/>
    </w:pPr>
    <w:rPr>
      <w:sz w:val="18"/>
      <w:szCs w:val="18"/>
    </w:rPr>
  </w:style>
  <w:style w:type="character" w:customStyle="1" w:styleId="KoptekstChar">
    <w:name w:val="Koptekst Char"/>
    <w:basedOn w:val="Standaardalinea-lettertype"/>
    <w:link w:val="Koptekst"/>
    <w:uiPriority w:val="99"/>
    <w:rsid w:val="000E4545"/>
    <w:rPr>
      <w:sz w:val="18"/>
      <w:szCs w:val="18"/>
    </w:rPr>
  </w:style>
  <w:style w:type="paragraph" w:styleId="Voettekst">
    <w:name w:val="footer"/>
    <w:basedOn w:val="Standaard"/>
    <w:link w:val="VoettekstChar"/>
    <w:uiPriority w:val="99"/>
    <w:unhideWhenUsed/>
    <w:rsid w:val="000E4545"/>
    <w:pPr>
      <w:tabs>
        <w:tab w:val="center" w:pos="4153"/>
        <w:tab w:val="right" w:pos="8306"/>
      </w:tabs>
      <w:snapToGrid w:val="0"/>
      <w:spacing w:line="240" w:lineRule="auto"/>
    </w:pPr>
    <w:rPr>
      <w:sz w:val="18"/>
      <w:szCs w:val="18"/>
    </w:rPr>
  </w:style>
  <w:style w:type="character" w:customStyle="1" w:styleId="VoettekstChar">
    <w:name w:val="Voettekst Char"/>
    <w:basedOn w:val="Standaardalinea-lettertype"/>
    <w:link w:val="Voettekst"/>
    <w:uiPriority w:val="99"/>
    <w:rsid w:val="000E4545"/>
    <w:rPr>
      <w:sz w:val="18"/>
      <w:szCs w:val="18"/>
    </w:rPr>
  </w:style>
  <w:style w:type="paragraph" w:styleId="Ballontekst">
    <w:name w:val="Balloon Text"/>
    <w:basedOn w:val="Standaard"/>
    <w:link w:val="BallontekstChar"/>
    <w:uiPriority w:val="99"/>
    <w:semiHidden/>
    <w:unhideWhenUsed/>
    <w:rsid w:val="00AC24B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C24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19456">
      <w:bodyDiv w:val="1"/>
      <w:marLeft w:val="0"/>
      <w:marRight w:val="0"/>
      <w:marTop w:val="0"/>
      <w:marBottom w:val="1650"/>
      <w:divBdr>
        <w:top w:val="none" w:sz="0" w:space="0" w:color="auto"/>
        <w:left w:val="none" w:sz="0" w:space="0" w:color="auto"/>
        <w:bottom w:val="none" w:sz="0" w:space="0" w:color="auto"/>
        <w:right w:val="none" w:sz="0" w:space="0" w:color="auto"/>
      </w:divBdr>
      <w:divsChild>
        <w:div w:id="83697230">
          <w:marLeft w:val="0"/>
          <w:marRight w:val="0"/>
          <w:marTop w:val="0"/>
          <w:marBottom w:val="0"/>
          <w:divBdr>
            <w:top w:val="none" w:sz="0" w:space="0" w:color="auto"/>
            <w:left w:val="none" w:sz="0" w:space="0" w:color="auto"/>
            <w:bottom w:val="none" w:sz="0" w:space="0" w:color="auto"/>
            <w:right w:val="none" w:sz="0" w:space="0" w:color="auto"/>
          </w:divBdr>
          <w:divsChild>
            <w:div w:id="1123042732">
              <w:marLeft w:val="0"/>
              <w:marRight w:val="0"/>
              <w:marTop w:val="0"/>
              <w:marBottom w:val="0"/>
              <w:divBdr>
                <w:top w:val="none" w:sz="0" w:space="0" w:color="auto"/>
                <w:left w:val="none" w:sz="0" w:space="0" w:color="auto"/>
                <w:bottom w:val="none" w:sz="0" w:space="0" w:color="auto"/>
                <w:right w:val="none" w:sz="0" w:space="0" w:color="auto"/>
              </w:divBdr>
              <w:divsChild>
                <w:div w:id="2064478171">
                  <w:marLeft w:val="0"/>
                  <w:marRight w:val="0"/>
                  <w:marTop w:val="0"/>
                  <w:marBottom w:val="0"/>
                  <w:divBdr>
                    <w:top w:val="none" w:sz="0" w:space="0" w:color="auto"/>
                    <w:left w:val="none" w:sz="0" w:space="0" w:color="auto"/>
                    <w:bottom w:val="none" w:sz="0" w:space="0" w:color="auto"/>
                    <w:right w:val="none" w:sz="0" w:space="0" w:color="auto"/>
                  </w:divBdr>
                  <w:divsChild>
                    <w:div w:id="1885749185">
                      <w:marLeft w:val="0"/>
                      <w:marRight w:val="0"/>
                      <w:marTop w:val="0"/>
                      <w:marBottom w:val="0"/>
                      <w:divBdr>
                        <w:top w:val="none" w:sz="0" w:space="0" w:color="auto"/>
                        <w:left w:val="none" w:sz="0" w:space="0" w:color="auto"/>
                        <w:bottom w:val="none" w:sz="0" w:space="0" w:color="auto"/>
                        <w:right w:val="none" w:sz="0" w:space="0" w:color="auto"/>
                      </w:divBdr>
                      <w:divsChild>
                        <w:div w:id="489323348">
                          <w:marLeft w:val="0"/>
                          <w:marRight w:val="0"/>
                          <w:marTop w:val="0"/>
                          <w:marBottom w:val="0"/>
                          <w:divBdr>
                            <w:top w:val="none" w:sz="0" w:space="0" w:color="auto"/>
                            <w:left w:val="none" w:sz="0" w:space="0" w:color="auto"/>
                            <w:bottom w:val="none" w:sz="0" w:space="0" w:color="auto"/>
                            <w:right w:val="none" w:sz="0" w:space="0" w:color="auto"/>
                          </w:divBdr>
                          <w:divsChild>
                            <w:div w:id="10997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827">
      <w:bodyDiv w:val="1"/>
      <w:marLeft w:val="0"/>
      <w:marRight w:val="0"/>
      <w:marTop w:val="0"/>
      <w:marBottom w:val="1650"/>
      <w:divBdr>
        <w:top w:val="none" w:sz="0" w:space="0" w:color="auto"/>
        <w:left w:val="none" w:sz="0" w:space="0" w:color="auto"/>
        <w:bottom w:val="none" w:sz="0" w:space="0" w:color="auto"/>
        <w:right w:val="none" w:sz="0" w:space="0" w:color="auto"/>
      </w:divBdr>
      <w:divsChild>
        <w:div w:id="1336693090">
          <w:marLeft w:val="0"/>
          <w:marRight w:val="0"/>
          <w:marTop w:val="0"/>
          <w:marBottom w:val="0"/>
          <w:divBdr>
            <w:top w:val="none" w:sz="0" w:space="0" w:color="auto"/>
            <w:left w:val="none" w:sz="0" w:space="0" w:color="auto"/>
            <w:bottom w:val="none" w:sz="0" w:space="0" w:color="auto"/>
            <w:right w:val="none" w:sz="0" w:space="0" w:color="auto"/>
          </w:divBdr>
          <w:divsChild>
            <w:div w:id="193933691">
              <w:marLeft w:val="0"/>
              <w:marRight w:val="0"/>
              <w:marTop w:val="0"/>
              <w:marBottom w:val="0"/>
              <w:divBdr>
                <w:top w:val="none" w:sz="0" w:space="0" w:color="auto"/>
                <w:left w:val="none" w:sz="0" w:space="0" w:color="auto"/>
                <w:bottom w:val="none" w:sz="0" w:space="0" w:color="auto"/>
                <w:right w:val="none" w:sz="0" w:space="0" w:color="auto"/>
              </w:divBdr>
              <w:divsChild>
                <w:div w:id="944382148">
                  <w:marLeft w:val="0"/>
                  <w:marRight w:val="0"/>
                  <w:marTop w:val="0"/>
                  <w:marBottom w:val="0"/>
                  <w:divBdr>
                    <w:top w:val="none" w:sz="0" w:space="0" w:color="auto"/>
                    <w:left w:val="none" w:sz="0" w:space="0" w:color="auto"/>
                    <w:bottom w:val="none" w:sz="0" w:space="0" w:color="auto"/>
                    <w:right w:val="none" w:sz="0" w:space="0" w:color="auto"/>
                  </w:divBdr>
                  <w:divsChild>
                    <w:div w:id="29576449">
                      <w:marLeft w:val="0"/>
                      <w:marRight w:val="0"/>
                      <w:marTop w:val="0"/>
                      <w:marBottom w:val="0"/>
                      <w:divBdr>
                        <w:top w:val="none" w:sz="0" w:space="0" w:color="auto"/>
                        <w:left w:val="none" w:sz="0" w:space="0" w:color="auto"/>
                        <w:bottom w:val="none" w:sz="0" w:space="0" w:color="auto"/>
                        <w:right w:val="none" w:sz="0" w:space="0" w:color="auto"/>
                      </w:divBdr>
                      <w:divsChild>
                        <w:div w:id="2120639795">
                          <w:marLeft w:val="0"/>
                          <w:marRight w:val="0"/>
                          <w:marTop w:val="0"/>
                          <w:marBottom w:val="0"/>
                          <w:divBdr>
                            <w:top w:val="none" w:sz="0" w:space="0" w:color="auto"/>
                            <w:left w:val="none" w:sz="0" w:space="0" w:color="auto"/>
                            <w:bottom w:val="none" w:sz="0" w:space="0" w:color="auto"/>
                            <w:right w:val="none" w:sz="0" w:space="0" w:color="auto"/>
                          </w:divBdr>
                          <w:divsChild>
                            <w:div w:id="4275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oppain.org/sections/?p=10" TargetMode="External"/><Relationship Id="rId3" Type="http://schemas.openxmlformats.org/officeDocument/2006/relationships/settings" Target="settings.xml"/><Relationship Id="rId7" Type="http://schemas.openxmlformats.org/officeDocument/2006/relationships/hyperlink" Target="https://www.postoppain.org/sections/?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C698AC78</Template>
  <TotalTime>0</TotalTime>
  <Pages>2</Pages>
  <Words>265</Words>
  <Characters>1463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Leuven</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Michiels</dc:creator>
  <cp:keywords/>
  <dc:description/>
  <cp:lastModifiedBy>Eline Michiels</cp:lastModifiedBy>
  <cp:revision>2</cp:revision>
  <dcterms:created xsi:type="dcterms:W3CDTF">2018-08-06T12:26:00Z</dcterms:created>
  <dcterms:modified xsi:type="dcterms:W3CDTF">2018-08-06T12:26:00Z</dcterms:modified>
</cp:coreProperties>
</file>