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F" w:rsidRPr="00C15548" w:rsidRDefault="008F0F9F" w:rsidP="00C1554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Präoperative Empfehlungen für eine laparoskopische Cholezystektomie </w:t>
      </w:r>
    </w:p>
    <w:p w:rsidR="008F0F9F" w:rsidRPr="00C15548" w:rsidRDefault="008F0F9F" w:rsidP="00C155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Präoperative Empfehlungen für eine laparoskopische Cholezystektomie</w:t>
      </w:r>
    </w:p>
    <w:p w:rsidR="008F0F9F" w:rsidRPr="00C15548" w:rsidRDefault="008F0F9F" w:rsidP="00C1554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8F0F9F" w:rsidRPr="009C7761" w:rsidTr="00C15548">
        <w:tc>
          <w:tcPr>
            <w:tcW w:w="4608" w:type="dxa"/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58030674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PRÄOPERATIV EMPFOHLEN</w:t>
            </w:r>
            <w:bookmarkEnd w:id="0"/>
          </w:p>
        </w:tc>
        <w:tc>
          <w:tcPr>
            <w:tcW w:w="4680" w:type="dxa"/>
            <w:tcBorders>
              <w:right w:val="nil"/>
            </w:tcBorders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58030675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NICHT EMPFOHLEN</w:t>
            </w:r>
            <w:bookmarkEnd w:id="1"/>
          </w:p>
        </w:tc>
      </w:tr>
      <w:tr w:rsidR="008F0F9F" w:rsidRPr="009C7761" w:rsidTr="00C15548">
        <w:tc>
          <w:tcPr>
            <w:tcW w:w="4608" w:type="dxa"/>
            <w:tcBorders>
              <w:bottom w:val="nil"/>
            </w:tcBorders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2" w:name="_Toc158030676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SYSTEMISCHE ANALGESIE</w:t>
            </w:r>
            <w:bookmarkEnd w:id="2"/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Corticosteroid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Dexamethason (Grad B bzgl. analgetischer Wirkungen; Grad A bzgl. Wirkungen als Antiemetikum)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COX-2-selektive Inhibitoren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(Grad B)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Gabapentinoide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Gabapentin (Grad B)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bottom w:val="nil"/>
              <w:right w:val="nil"/>
            </w:tcBorders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3" w:name="_Toc158030677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SYSTEMISCHE ANALGESIE</w:t>
            </w:r>
            <w:bookmarkEnd w:id="3"/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α2-Adrenozeptor-Agonisten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i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Clonidin 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Herkömmliche NSAR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(Grad B)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I.v. Lokalanästhesie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i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NMDA-Antagonist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Dextromethorphan 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Ketamin 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Magnesium (Grad B)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Starke Opioide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Starke Opioide (Grad B)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Schwache Opioide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Tramadol (Grad B)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Paracetamol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B)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77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F0F9F" w:rsidRPr="009C7761" w:rsidTr="00C15548">
        <w:tc>
          <w:tcPr>
            <w:tcW w:w="4608" w:type="dxa"/>
            <w:tcBorders>
              <w:top w:val="nil"/>
            </w:tcBorders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4" w:name="_Toc158030678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REGIONALANALGESIE</w:t>
            </w:r>
            <w:bookmarkEnd w:id="4"/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Wundinfiltration mit Lokalanästhetikum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 xml:space="preserve"> Wundinfiltration mit einem lang wirksamen Lokalanästhetikum (Grad A) zur Verminderung von Wundschmerzen,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nicht jedoch von Schulterschmerzen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Epidural-Analgesie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bei pulmonalen Hochrisikopatienten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 xml:space="preserve"> 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5" w:name="_Toc158030679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REGIONALANALGESIE</w:t>
            </w:r>
            <w:bookmarkEnd w:id="5"/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Paravertebralblockade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Spinale Lokalanästhesie + starkes Opioid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Epidural-Analgesie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außer bei pulmonalen Hochrisikopatienten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 xml:space="preserve"> 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0F9F" w:rsidRPr="009C7761" w:rsidTr="00C15548">
        <w:tc>
          <w:tcPr>
            <w:tcW w:w="4608" w:type="dxa"/>
            <w:tcBorders>
              <w:top w:val="nil"/>
            </w:tcBorders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6" w:name="_Toc158030680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SONSTIGE MASSNAHMEN</w:t>
            </w:r>
            <w:bookmarkEnd w:id="6"/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C15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Orale Gabe von Kohlenhydraten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C15548" w:rsidRDefault="008F0F9F" w:rsidP="00C15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F0F9F" w:rsidRDefault="008F0F9F"/>
    <w:p w:rsidR="008F0F9F" w:rsidRDefault="008F0F9F"/>
    <w:p w:rsidR="008F0F9F" w:rsidRPr="00836DB1" w:rsidRDefault="008F0F9F" w:rsidP="00836DB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Intraoperative Empfehlungen für eine laparoskopische Cholezystektomie</w:t>
      </w:r>
    </w:p>
    <w:p w:rsidR="008F0F9F" w:rsidRPr="00836DB1" w:rsidRDefault="008F0F9F" w:rsidP="00836D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Intraoperative Empfehlungen für eine laparoskopische Cholezystektomie</w:t>
      </w:r>
    </w:p>
    <w:p w:rsidR="008F0F9F" w:rsidRPr="00836DB1" w:rsidRDefault="008F0F9F" w:rsidP="00836D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F0F9F" w:rsidRPr="00836DB1" w:rsidRDefault="008F0F9F" w:rsidP="00836DB1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4680"/>
      </w:tblGrid>
      <w:tr w:rsidR="008F0F9F" w:rsidRPr="009C7761" w:rsidTr="00836DB1">
        <w:tc>
          <w:tcPr>
            <w:tcW w:w="4500" w:type="dxa"/>
          </w:tcPr>
          <w:p w:rsidR="008F0F9F" w:rsidRPr="00836DB1" w:rsidRDefault="008F0F9F" w:rsidP="00836D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158030681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INTRAOPERATIV EMPFOHLEN</w:t>
            </w:r>
            <w:bookmarkEnd w:id="7"/>
          </w:p>
        </w:tc>
        <w:tc>
          <w:tcPr>
            <w:tcW w:w="4680" w:type="dxa"/>
            <w:tcBorders>
              <w:right w:val="nil"/>
            </w:tcBorders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58030682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NICHT EMPFOHLEN</w:t>
            </w:r>
            <w:bookmarkEnd w:id="8"/>
          </w:p>
        </w:tc>
      </w:tr>
      <w:tr w:rsidR="008F0F9F" w:rsidRPr="009C7761" w:rsidTr="00836DB1">
        <w:tc>
          <w:tcPr>
            <w:tcW w:w="4500" w:type="dxa"/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i/>
                <w:sz w:val="20"/>
                <w:szCs w:val="20"/>
              </w:rPr>
              <w:t>SYSTEMISCHE ANALGESIE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Herkömmliche NSAR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/>
                <w:sz w:val="20"/>
                <w:szCs w:val="20"/>
              </w:rPr>
            </w:pPr>
            <w:r w:rsidRPr="009C776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 xml:space="preserve">am Ende des Eingriffs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ind w:left="3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iCs/>
                <w:sz w:val="20"/>
                <w:szCs w:val="20"/>
              </w:rPr>
              <w:t>COX-2-selektive Inhibitoren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/>
                <w:sz w:val="20"/>
                <w:szCs w:val="20"/>
              </w:rPr>
            </w:pPr>
            <w:r w:rsidRPr="009C776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iCs/>
                <w:sz w:val="20"/>
                <w:szCs w:val="20"/>
              </w:rPr>
              <w:t>Starke Opioide mit Kurzzeitwirkung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iCs/>
                <w:sz w:val="20"/>
                <w:szCs w:val="20"/>
              </w:rPr>
              <w:t>als Teil des Anästhesieverfahrens</w:t>
            </w:r>
            <w:r w:rsidRPr="009C776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9C7761">
              <w:rPr>
                <w:rFonts w:ascii="Times New Roman" w:hAnsi="Times New Roman"/>
                <w:iCs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right w:val="nil"/>
            </w:tcBorders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i/>
                <w:sz w:val="20"/>
                <w:szCs w:val="20"/>
              </w:rPr>
              <w:t>SYSTEMISCHE ANALGESIE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NMDA-Antagonist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Dextromethorphan 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Ketamin-Infusion 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Magnesium-Infusion (Grad B)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Starke Opioide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Starke Opioide von länger anhaltender Wirksamkeit (Grad B)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0F9F" w:rsidRPr="009C7761" w:rsidTr="00836DB1">
        <w:tc>
          <w:tcPr>
            <w:tcW w:w="4500" w:type="dxa"/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9" w:name="_Toc158030685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REGIONALANALGESIE</w:t>
            </w:r>
            <w:bookmarkEnd w:id="9"/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Wundinfiltration mit Lokalanästhetikum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Wundinfiltration mit einem lang wirksamen Lokalanästhetikum (Grad A) zur Verminderung von Wundschmerzen, nicht jedoch von Schulterschmerzen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I.p. Lokalanästhesie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</w:rPr>
              <w:t>I.p. Verabreichtes Lokalanästhetikum (Grad A) zur Verminderung von Wundschmerzen, nicht jedoch von Schulterschmerzen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Kombinierte Wundinfiltration mit Lokalanästhetikum/i.p. Lokalanästhesie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A; Dosis erfordert Überwachung auf Toxizität: 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right w:val="nil"/>
            </w:tcBorders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10" w:name="_Toc158030686"/>
            <w:r w:rsidRPr="009C776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REGIONALANALGESIE</w:t>
            </w:r>
            <w:bookmarkEnd w:id="10"/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Epinephrin als Teil einer lokalanästhetischen-Lösung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B)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Intraperitoneal verabreichtes starkes Opioid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Interpleurale Lokalanästhesie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B)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Interpleural verabreichtes starkes Opioid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B)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0F9F" w:rsidRPr="009C7761" w:rsidTr="00836DB1">
        <w:tc>
          <w:tcPr>
            <w:tcW w:w="4500" w:type="dxa"/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ANÄSTHESIETECHNIKEN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Allgemeinanästhesie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Kombinierte Epidural-/Allgemeinanästhesie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bei pulmonalen Hochrisikopatienten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 xml:space="preserve"> 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right w:val="nil"/>
            </w:tcBorders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ANÄSTHESIETECHNIKEN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Kombinierte Epidural-/Allgemeinanästhesie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für die routinemäßige Anästhesie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br/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F0F9F" w:rsidRPr="009C7761" w:rsidTr="00836DB1">
        <w:tc>
          <w:tcPr>
            <w:tcW w:w="4500" w:type="dxa"/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OPERATIVE TECHNIKEN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Niederdruck-CO</w:t>
            </w:r>
            <w:r w:rsidRPr="009C776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A)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Spülung mit Kochsalz, gefolgt von Absaugung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A)</w:t>
            </w:r>
          </w:p>
        </w:tc>
        <w:tc>
          <w:tcPr>
            <w:tcW w:w="4680" w:type="dxa"/>
            <w:tcBorders>
              <w:right w:val="nil"/>
            </w:tcBorders>
          </w:tcPr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before="240" w:after="60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77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OPERATIVE TECHNIKEN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Gaslose laparoskopische Cholezystektomie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A)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Mit befeuchtetem und gewärmtem CO</w:t>
            </w:r>
            <w:r w:rsidRPr="009C776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angelegtes Pneumoperitoneum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 bzw. A)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9C776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O-Pneumoperitoneum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Helium-Pneumoperitoneum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B)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Geringere Gesamtgröße der Trokarinzision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Radial expandierende Trokare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Subhepatische Drainage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spacing w:after="0" w:afterAutospacing="1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9C7761" w:rsidRDefault="008F0F9F" w:rsidP="00836DB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761">
              <w:rPr>
                <w:rFonts w:ascii="Times New Roman" w:hAnsi="Times New Roman"/>
                <w:b/>
                <w:bCs/>
                <w:sz w:val="20"/>
                <w:szCs w:val="20"/>
              </w:rPr>
              <w:t>Aspiration von Gas aus dem Pneumoperitoneum</w:t>
            </w:r>
          </w:p>
          <w:p w:rsidR="008F0F9F" w:rsidRPr="00836DB1" w:rsidRDefault="008F0F9F" w:rsidP="00836DB1">
            <w:p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F0F9F" w:rsidRPr="00836DB1" w:rsidRDefault="008F0F9F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76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C7761">
              <w:rPr>
                <w:rFonts w:ascii="Times New Roman" w:hAnsi="Times New Roman"/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rFonts w:ascii="Times New Roman" w:hAnsi="Times New Roman"/>
                <w:sz w:val="20"/>
                <w:szCs w:val="20"/>
              </w:rPr>
              <w:t>(Grad D)</w:t>
            </w:r>
          </w:p>
        </w:tc>
      </w:tr>
    </w:tbl>
    <w:p w:rsidR="008F0F9F" w:rsidRDefault="008F0F9F"/>
    <w:p w:rsidR="008F0F9F" w:rsidRDefault="008F0F9F"/>
    <w:p w:rsidR="008F0F9F" w:rsidRDefault="008F0F9F" w:rsidP="00836DB1">
      <w:pPr>
        <w:pStyle w:val="Heading1"/>
      </w:pPr>
      <w:r>
        <w:t>Postoperative Empfehlungen für eine laparoskopische Cholezystektomie</w:t>
      </w:r>
    </w:p>
    <w:p w:rsidR="008F0F9F" w:rsidRDefault="008F0F9F" w:rsidP="00836DB1">
      <w:pPr>
        <w:pStyle w:val="NormalWeb"/>
      </w:pPr>
      <w:r>
        <w:rPr>
          <w:rStyle w:val="Strong"/>
        </w:rPr>
        <w:t>Postoperative Empfehlungen für eine laparoskopische Cholezystektomie</w:t>
      </w:r>
    </w:p>
    <w:p w:rsidR="008F0F9F" w:rsidRDefault="008F0F9F" w:rsidP="00836DB1"/>
    <w:p w:rsidR="008F0F9F" w:rsidRDefault="008F0F9F" w:rsidP="00836DB1">
      <w:pPr>
        <w:pStyle w:val="NormalWeb"/>
      </w:pPr>
    </w:p>
    <w:p w:rsidR="008F0F9F" w:rsidRDefault="008F0F9F" w:rsidP="00836DB1">
      <w:pPr>
        <w:spacing w:after="2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4"/>
        <w:gridCol w:w="4366"/>
      </w:tblGrid>
      <w:tr w:rsidR="008F0F9F" w:rsidRPr="009C7761" w:rsidTr="00836DB1">
        <w:tc>
          <w:tcPr>
            <w:tcW w:w="4634" w:type="dxa"/>
          </w:tcPr>
          <w:p w:rsidR="008F0F9F" w:rsidRPr="009C7761" w:rsidRDefault="008F0F9F">
            <w:pPr>
              <w:spacing w:before="100" w:beforeAutospacing="1" w:after="100" w:afterAutospacing="1"/>
            </w:pPr>
          </w:p>
          <w:p w:rsidR="008F0F9F" w:rsidRDefault="008F0F9F">
            <w:pPr>
              <w:pStyle w:val="Heading1"/>
              <w:spacing w:before="240" w:beforeAutospacing="0" w:after="60" w:afterAutospacing="0"/>
            </w:pPr>
            <w:bookmarkStart w:id="11" w:name="_Toc143105163"/>
            <w:bookmarkStart w:id="12" w:name="_Toc158030688"/>
            <w:r>
              <w:rPr>
                <w:rStyle w:val="Emphasis"/>
                <w:sz w:val="20"/>
                <w:szCs w:val="20"/>
              </w:rPr>
              <w:t> POSTOPERATIV EMPFOHLEN</w:t>
            </w:r>
            <w:bookmarkEnd w:id="11"/>
            <w:bookmarkEnd w:id="12"/>
          </w:p>
        </w:tc>
        <w:tc>
          <w:tcPr>
            <w:tcW w:w="4366" w:type="dxa"/>
            <w:tcBorders>
              <w:right w:val="nil"/>
            </w:tcBorders>
          </w:tcPr>
          <w:p w:rsidR="008F0F9F" w:rsidRPr="009C7761" w:rsidRDefault="008F0F9F">
            <w:pPr>
              <w:spacing w:beforeAutospacing="1" w:afterAutospacing="1"/>
            </w:pPr>
          </w:p>
          <w:p w:rsidR="008F0F9F" w:rsidRDefault="008F0F9F">
            <w:pPr>
              <w:pStyle w:val="Heading1"/>
              <w:spacing w:before="240" w:beforeAutospacing="0" w:after="60" w:afterAutospacing="0"/>
            </w:pPr>
            <w:bookmarkStart w:id="13" w:name="_Toc143105164"/>
            <w:bookmarkStart w:id="14" w:name="_Toc158030689"/>
            <w:r>
              <w:rPr>
                <w:rStyle w:val="Emphasis"/>
                <w:sz w:val="20"/>
                <w:szCs w:val="20"/>
              </w:rPr>
              <w:t>NICHT EMPFOHLEN</w:t>
            </w:r>
            <w:bookmarkEnd w:id="13"/>
            <w:bookmarkEnd w:id="14"/>
          </w:p>
        </w:tc>
      </w:tr>
      <w:tr w:rsidR="008F0F9F" w:rsidRPr="009C7761" w:rsidTr="00836DB1">
        <w:tc>
          <w:tcPr>
            <w:tcW w:w="4634" w:type="dxa"/>
          </w:tcPr>
          <w:p w:rsidR="008F0F9F" w:rsidRPr="009C7761" w:rsidRDefault="008F0F9F">
            <w:pPr>
              <w:spacing w:beforeAutospacing="1" w:afterAutospacing="1"/>
            </w:pPr>
          </w:p>
          <w:p w:rsidR="008F0F9F" w:rsidRDefault="008F0F9F">
            <w:pPr>
              <w:pStyle w:val="Heading2"/>
              <w:spacing w:before="240" w:beforeAutospacing="0" w:after="60" w:afterAutospacing="0"/>
            </w:pPr>
            <w:bookmarkStart w:id="15" w:name="_Toc143105165"/>
            <w:bookmarkStart w:id="16" w:name="_Toc158030690"/>
            <w:r>
              <w:rPr>
                <w:rStyle w:val="Emphasis"/>
                <w:sz w:val="20"/>
                <w:szCs w:val="20"/>
              </w:rPr>
              <w:t>Systemische Analgesie</w:t>
            </w:r>
            <w:bookmarkEnd w:id="15"/>
            <w:bookmarkEnd w:id="16"/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C7761">
              <w:rPr>
                <w:b/>
                <w:bCs/>
                <w:sz w:val="20"/>
                <w:szCs w:val="20"/>
              </w:rPr>
              <w:t>Herkömmliche NSAR</w:t>
            </w:r>
            <w:r w:rsidRPr="009C7761">
              <w:rPr>
                <w:b/>
                <w:bCs/>
                <w:sz w:val="20"/>
                <w:szCs w:val="20"/>
              </w:rPr>
              <w:tab/>
              <w:t xml:space="preserve">          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  <w:rPr>
                <w:sz w:val="20"/>
                <w:szCs w:val="20"/>
              </w:rPr>
            </w:pPr>
            <w:r w:rsidRPr="009C7761">
              <w:rPr>
                <w:iCs/>
                <w:sz w:val="20"/>
                <w:szCs w:val="20"/>
              </w:rPr>
              <w:t>–</w:t>
            </w:r>
            <w:r w:rsidRPr="009C7761">
              <w:rPr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(Grad A)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b/>
                <w:bCs/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b/>
                <w:bCs/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43"/>
              </w:numPr>
              <w:spacing w:after="0" w:line="240" w:lineRule="auto"/>
            </w:pPr>
            <w:r w:rsidRPr="009C7761">
              <w:rPr>
                <w:b/>
                <w:bCs/>
                <w:sz w:val="20"/>
                <w:szCs w:val="20"/>
              </w:rPr>
              <w:t>COX-2-selektive Inhibitoren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  <w:rPr>
                <w:sz w:val="20"/>
                <w:szCs w:val="20"/>
              </w:rPr>
            </w:pPr>
            <w:r w:rsidRPr="009C7761">
              <w:rPr>
                <w:iCs/>
                <w:sz w:val="20"/>
                <w:szCs w:val="20"/>
              </w:rPr>
              <w:t>–</w:t>
            </w:r>
            <w:r w:rsidRPr="009C7761">
              <w:rPr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(Grad A)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ind w:left="720"/>
              <w:rPr>
                <w:i/>
                <w:iCs/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tabs>
                <w:tab w:val="num" w:pos="720"/>
              </w:tabs>
              <w:spacing w:after="0"/>
              <w:ind w:left="720" w:hanging="360"/>
            </w:pPr>
            <w:r w:rsidRPr="009C7761">
              <w:rPr>
                <w:rFonts w:ascii="Symbol" w:hAnsi="Symbol"/>
                <w:sz w:val="20"/>
                <w:szCs w:val="20"/>
              </w:rPr>
              <w:t></w:t>
            </w:r>
            <w:r w:rsidRPr="009C7761">
              <w:rPr>
                <w:sz w:val="14"/>
                <w:szCs w:val="14"/>
              </w:rPr>
              <w:t xml:space="preserve">         </w:t>
            </w:r>
            <w:r w:rsidRPr="009C7761">
              <w:rPr>
                <w:b/>
                <w:bCs/>
                <w:sz w:val="20"/>
                <w:szCs w:val="20"/>
              </w:rPr>
              <w:t>Starke Opioide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tabs>
                <w:tab w:val="num" w:pos="1080"/>
              </w:tabs>
              <w:spacing w:after="0"/>
              <w:ind w:left="1080" w:hanging="360"/>
            </w:pPr>
            <w:r w:rsidRPr="009C7761">
              <w:rPr>
                <w:sz w:val="20"/>
                <w:szCs w:val="20"/>
              </w:rPr>
              <w:t>–</w:t>
            </w:r>
            <w:r w:rsidRPr="009C7761">
              <w:rPr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für hochintensive Schmerzen zusätzlich zu anderen Wirkstoffen (Grad D)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spacing w:after="0"/>
              <w:ind w:left="1080"/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tabs>
                <w:tab w:val="num" w:pos="720"/>
              </w:tabs>
              <w:spacing w:after="0"/>
              <w:ind w:left="720" w:hanging="360"/>
            </w:pPr>
            <w:r w:rsidRPr="009C7761">
              <w:rPr>
                <w:rFonts w:ascii="Symbol" w:hAnsi="Symbol"/>
                <w:sz w:val="20"/>
                <w:szCs w:val="20"/>
              </w:rPr>
              <w:t></w:t>
            </w:r>
            <w:r w:rsidRPr="009C7761">
              <w:rPr>
                <w:sz w:val="14"/>
                <w:szCs w:val="14"/>
              </w:rPr>
              <w:t xml:space="preserve">         </w:t>
            </w:r>
            <w:r w:rsidRPr="009C7761">
              <w:rPr>
                <w:b/>
                <w:bCs/>
                <w:sz w:val="20"/>
                <w:szCs w:val="20"/>
              </w:rPr>
              <w:t>Schwache Opioide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tabs>
                <w:tab w:val="num" w:pos="1080"/>
              </w:tabs>
              <w:spacing w:after="0"/>
              <w:ind w:left="1080" w:hanging="360"/>
            </w:pPr>
            <w:r w:rsidRPr="009C7761">
              <w:rPr>
                <w:sz w:val="20"/>
                <w:szCs w:val="20"/>
              </w:rPr>
              <w:t>–</w:t>
            </w:r>
            <w:r w:rsidRPr="009C7761">
              <w:rPr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als Notfall-Analgetika bei Schmerz von mäßiger bis geringer Intensität zusätzlich zu anderen Wirkstoffen (Grad D)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spacing w:after="0"/>
              <w:ind w:left="360"/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tabs>
                <w:tab w:val="num" w:pos="720"/>
              </w:tabs>
              <w:spacing w:after="0"/>
              <w:ind w:left="720" w:hanging="360"/>
              <w:rPr>
                <w:b/>
                <w:bCs/>
                <w:sz w:val="20"/>
                <w:szCs w:val="20"/>
              </w:rPr>
            </w:pPr>
            <w:r w:rsidRPr="009C7761">
              <w:rPr>
                <w:rFonts w:ascii="Symbol" w:hAnsi="Symbol"/>
                <w:sz w:val="20"/>
                <w:szCs w:val="20"/>
              </w:rPr>
              <w:t></w:t>
            </w:r>
            <w:r w:rsidRPr="009C7761">
              <w:rPr>
                <w:sz w:val="14"/>
                <w:szCs w:val="14"/>
              </w:rPr>
              <w:t xml:space="preserve">         </w:t>
            </w:r>
            <w:r w:rsidRPr="009C7761">
              <w:rPr>
                <w:b/>
                <w:bCs/>
                <w:sz w:val="20"/>
                <w:szCs w:val="20"/>
              </w:rPr>
              <w:t>Paracetamol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tabs>
                <w:tab w:val="num" w:pos="1080"/>
              </w:tabs>
              <w:spacing w:after="0"/>
              <w:ind w:left="1080" w:hanging="360"/>
            </w:pPr>
            <w:r w:rsidRPr="009C7761">
              <w:rPr>
                <w:sz w:val="20"/>
                <w:szCs w:val="20"/>
              </w:rPr>
              <w:t>–</w:t>
            </w:r>
            <w:r w:rsidRPr="009C7761">
              <w:rPr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(Grad A)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pStyle w:val="BodyTextIndent2"/>
              <w:spacing w:after="0"/>
              <w:ind w:left="720"/>
            </w:pPr>
            <w:r w:rsidRPr="009C7761">
              <w:rPr>
                <w:sz w:val="20"/>
                <w:szCs w:val="20"/>
              </w:rPr>
              <w:t> </w:t>
            </w:r>
          </w:p>
        </w:tc>
        <w:tc>
          <w:tcPr>
            <w:tcW w:w="4366" w:type="dxa"/>
            <w:tcBorders>
              <w:right w:val="nil"/>
            </w:tcBorders>
          </w:tcPr>
          <w:p w:rsidR="008F0F9F" w:rsidRPr="009C7761" w:rsidRDefault="008F0F9F">
            <w:pPr>
              <w:spacing w:beforeAutospacing="1" w:afterAutospacing="1"/>
            </w:pPr>
          </w:p>
          <w:p w:rsidR="008F0F9F" w:rsidRDefault="008F0F9F">
            <w:pPr>
              <w:pStyle w:val="Heading2"/>
              <w:spacing w:before="240" w:beforeAutospacing="0" w:after="60" w:afterAutospacing="0"/>
            </w:pPr>
            <w:bookmarkStart w:id="17" w:name="_Toc158030691"/>
            <w:r>
              <w:rPr>
                <w:rStyle w:val="Emphasis"/>
                <w:sz w:val="20"/>
                <w:szCs w:val="20"/>
              </w:rPr>
              <w:t>Systemische Analgesie</w:t>
            </w:r>
            <w:bookmarkEnd w:id="17"/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44"/>
              </w:numPr>
              <w:spacing w:after="0" w:line="240" w:lineRule="auto"/>
            </w:pPr>
            <w:r w:rsidRPr="009C7761">
              <w:rPr>
                <w:b/>
                <w:bCs/>
                <w:sz w:val="20"/>
                <w:szCs w:val="20"/>
              </w:rPr>
              <w:t>NMDA-Antagonist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sz w:val="20"/>
                <w:szCs w:val="20"/>
              </w:rPr>
              <w:t>–</w:t>
            </w:r>
            <w:r w:rsidRPr="009C7761">
              <w:rPr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Ketamin (Grad D)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sz w:val="20"/>
                <w:szCs w:val="20"/>
              </w:rPr>
              <w:t>–</w:t>
            </w:r>
            <w:r w:rsidRPr="009C7761">
              <w:rPr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Magnesium (Grad B)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45"/>
              </w:numPr>
              <w:spacing w:after="0" w:line="240" w:lineRule="auto"/>
            </w:pPr>
            <w:r w:rsidRPr="009C7761">
              <w:rPr>
                <w:b/>
                <w:bCs/>
                <w:sz w:val="20"/>
                <w:szCs w:val="20"/>
              </w:rPr>
              <w:t>Starke Opioide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sz w:val="20"/>
                <w:szCs w:val="20"/>
              </w:rPr>
              <w:t>–</w:t>
            </w:r>
            <w:r w:rsidRPr="009C7761">
              <w:rPr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zur routinemäßigen Analgesie (Grad B)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afterAutospacing="1"/>
              <w:ind w:left="720"/>
            </w:pPr>
            <w:bookmarkStart w:id="18" w:name="_GoBack"/>
            <w:bookmarkEnd w:id="18"/>
          </w:p>
          <w:p w:rsidR="008F0F9F" w:rsidRPr="009C7761" w:rsidRDefault="008F0F9F" w:rsidP="00836DB1">
            <w:pPr>
              <w:numPr>
                <w:ilvl w:val="0"/>
                <w:numId w:val="4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C7761">
              <w:rPr>
                <w:b/>
                <w:bCs/>
                <w:sz w:val="20"/>
                <w:szCs w:val="20"/>
              </w:rPr>
              <w:t>Schwache Opioide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sz w:val="20"/>
                <w:szCs w:val="20"/>
              </w:rPr>
              <w:t>–</w:t>
            </w:r>
            <w:r w:rsidRPr="009C7761">
              <w:rPr>
                <w:sz w:val="14"/>
                <w:szCs w:val="14"/>
              </w:rPr>
              <w:t xml:space="preserve">          </w:t>
            </w:r>
            <w:r w:rsidRPr="009C7761">
              <w:rPr>
                <w:bCs/>
                <w:sz w:val="20"/>
                <w:szCs w:val="20"/>
              </w:rPr>
              <w:t>zur routinemäßigen Analgesie (Grad B)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ind w:left="1080"/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r w:rsidRPr="009C7761">
              <w:rPr>
                <w:sz w:val="20"/>
                <w:szCs w:val="20"/>
              </w:rPr>
              <w:t> </w:t>
            </w:r>
          </w:p>
        </w:tc>
      </w:tr>
      <w:tr w:rsidR="008F0F9F" w:rsidRPr="009C7761" w:rsidTr="00836DB1">
        <w:tc>
          <w:tcPr>
            <w:tcW w:w="4634" w:type="dxa"/>
          </w:tcPr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r w:rsidRPr="009C7761">
              <w:rPr>
                <w:sz w:val="20"/>
                <w:szCs w:val="20"/>
              </w:rPr>
              <w:t> </w:t>
            </w:r>
          </w:p>
        </w:tc>
        <w:tc>
          <w:tcPr>
            <w:tcW w:w="4366" w:type="dxa"/>
            <w:tcBorders>
              <w:right w:val="nil"/>
            </w:tcBorders>
          </w:tcPr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r w:rsidRPr="009C7761">
              <w:rPr>
                <w:b/>
                <w:bCs/>
                <w:i/>
                <w:iCs/>
                <w:sz w:val="20"/>
                <w:szCs w:val="20"/>
              </w:rPr>
              <w:t>REGIONALANALGESIE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47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C7761">
              <w:rPr>
                <w:b/>
                <w:bCs/>
                <w:sz w:val="20"/>
                <w:szCs w:val="20"/>
              </w:rPr>
              <w:t>I.p. Lokalanästhesie mit PCA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bCs/>
                <w:iCs/>
                <w:sz w:val="20"/>
                <w:szCs w:val="20"/>
              </w:rPr>
              <w:t>–</w:t>
            </w:r>
            <w:r w:rsidRPr="009C7761">
              <w:rPr>
                <w:bCs/>
                <w:iCs/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(Grad D)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r w:rsidRPr="009C776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F0F9F" w:rsidRPr="009C7761" w:rsidTr="00836DB1">
        <w:tc>
          <w:tcPr>
            <w:tcW w:w="4634" w:type="dxa"/>
          </w:tcPr>
          <w:p w:rsidR="008F0F9F" w:rsidRPr="009C7761" w:rsidRDefault="008F0F9F">
            <w:pPr>
              <w:spacing w:beforeAutospacing="1" w:afterAutospacing="1"/>
            </w:pPr>
          </w:p>
          <w:p w:rsidR="008F0F9F" w:rsidRDefault="008F0F9F">
            <w:pPr>
              <w:pStyle w:val="Heading2"/>
              <w:spacing w:before="240" w:beforeAutospacing="0" w:after="60" w:afterAutospacing="0"/>
            </w:pPr>
            <w:bookmarkStart w:id="19" w:name="_Toc158030692"/>
            <w:r>
              <w:rPr>
                <w:rStyle w:val="Emphasis"/>
                <w:sz w:val="20"/>
                <w:szCs w:val="20"/>
              </w:rPr>
              <w:t>EPIDURAL-ANALGESIE</w:t>
            </w:r>
            <w:bookmarkEnd w:id="19"/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48"/>
              </w:numPr>
              <w:spacing w:after="0" w:line="240" w:lineRule="auto"/>
            </w:pPr>
            <w:r w:rsidRPr="009C7761">
              <w:rPr>
                <w:b/>
                <w:bCs/>
                <w:sz w:val="20"/>
                <w:szCs w:val="20"/>
              </w:rPr>
              <w:t>Epidural-Analgesie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bCs/>
                <w:sz w:val="20"/>
                <w:szCs w:val="20"/>
              </w:rPr>
              <w:t>–</w:t>
            </w:r>
            <w:r w:rsidRPr="009C7761">
              <w:rPr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bCs/>
                <w:sz w:val="20"/>
                <w:szCs w:val="20"/>
              </w:rPr>
              <w:t>bei pulmonalen Hochrisikopatienten (Grad D)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r w:rsidRPr="009C7761">
              <w:rPr>
                <w:sz w:val="20"/>
                <w:szCs w:val="20"/>
              </w:rPr>
              <w:t> </w:t>
            </w:r>
          </w:p>
        </w:tc>
        <w:tc>
          <w:tcPr>
            <w:tcW w:w="4366" w:type="dxa"/>
            <w:tcBorders>
              <w:right w:val="nil"/>
            </w:tcBorders>
          </w:tcPr>
          <w:p w:rsidR="008F0F9F" w:rsidRPr="009C7761" w:rsidRDefault="008F0F9F">
            <w:pPr>
              <w:spacing w:beforeAutospacing="1" w:afterAutospacing="1"/>
            </w:pPr>
          </w:p>
          <w:p w:rsidR="008F0F9F" w:rsidRDefault="008F0F9F">
            <w:pPr>
              <w:pStyle w:val="Heading2"/>
              <w:spacing w:before="240" w:beforeAutospacing="0" w:after="60" w:afterAutospacing="0"/>
            </w:pPr>
            <w:bookmarkStart w:id="20" w:name="_Toc158030693"/>
            <w:bookmarkStart w:id="21" w:name="_Toc143105168"/>
            <w:r>
              <w:rPr>
                <w:rStyle w:val="Emphasis"/>
                <w:sz w:val="20"/>
                <w:szCs w:val="20"/>
              </w:rPr>
              <w:t>EPIDURAL-ANALGESIE</w:t>
            </w:r>
            <w:bookmarkEnd w:id="20"/>
            <w:bookmarkEnd w:id="21"/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49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C7761">
              <w:rPr>
                <w:b/>
                <w:bCs/>
                <w:sz w:val="20"/>
                <w:szCs w:val="20"/>
              </w:rPr>
              <w:t>Epidural-Analgesie mit starkem Opioid + Lokalanästhesie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bCs/>
                <w:sz w:val="20"/>
                <w:szCs w:val="20"/>
              </w:rPr>
              <w:t>–</w:t>
            </w:r>
            <w:r w:rsidRPr="009C7761">
              <w:rPr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bCs/>
                <w:sz w:val="20"/>
                <w:szCs w:val="20"/>
              </w:rPr>
              <w:t>zur routinemäßigen Analgesie (Grad D)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r w:rsidRPr="009C7761">
              <w:rPr>
                <w:sz w:val="20"/>
                <w:szCs w:val="20"/>
              </w:rPr>
              <w:t> </w:t>
            </w:r>
          </w:p>
        </w:tc>
      </w:tr>
      <w:tr w:rsidR="008F0F9F" w:rsidRPr="009C7761" w:rsidTr="00836DB1">
        <w:tc>
          <w:tcPr>
            <w:tcW w:w="4634" w:type="dxa"/>
          </w:tcPr>
          <w:p w:rsidR="008F0F9F" w:rsidRPr="009C7761" w:rsidRDefault="008F0F9F">
            <w:pPr>
              <w:spacing w:beforeAutospacing="1" w:afterAutospacing="1"/>
            </w:pPr>
          </w:p>
          <w:p w:rsidR="008F0F9F" w:rsidRDefault="008F0F9F">
            <w:pPr>
              <w:pStyle w:val="Heading2"/>
              <w:spacing w:before="240" w:beforeAutospacing="0" w:after="60" w:afterAutospacing="0"/>
            </w:pPr>
            <w:r>
              <w:rPr>
                <w:rStyle w:val="Emphasis"/>
                <w:sz w:val="20"/>
                <w:szCs w:val="20"/>
              </w:rPr>
              <w:t>PATIENTENMANAGEMENT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rPr>
                <w:sz w:val="20"/>
                <w:szCs w:val="20"/>
              </w:rPr>
            </w:pP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spacing w:afterAutospacing="1"/>
              <w:ind w:left="720"/>
            </w:pPr>
          </w:p>
          <w:p w:rsidR="008F0F9F" w:rsidRPr="009C7761" w:rsidRDefault="008F0F9F" w:rsidP="00836DB1">
            <w:pPr>
              <w:numPr>
                <w:ilvl w:val="0"/>
                <w:numId w:val="50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C7761">
              <w:rPr>
                <w:b/>
                <w:bCs/>
                <w:sz w:val="20"/>
                <w:szCs w:val="20"/>
              </w:rPr>
              <w:t>Frühzeitige Entlassung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tabs>
                <w:tab w:val="num" w:pos="1080"/>
              </w:tabs>
              <w:ind w:left="1080" w:hanging="360"/>
            </w:pPr>
            <w:r w:rsidRPr="009C7761">
              <w:rPr>
                <w:bCs/>
                <w:sz w:val="20"/>
                <w:szCs w:val="20"/>
              </w:rPr>
              <w:t>–</w:t>
            </w:r>
            <w:r w:rsidRPr="009C7761">
              <w:rPr>
                <w:bCs/>
                <w:sz w:val="14"/>
                <w:szCs w:val="14"/>
              </w:rPr>
              <w:t xml:space="preserve">          </w:t>
            </w:r>
            <w:r w:rsidRPr="009C7761">
              <w:rPr>
                <w:sz w:val="20"/>
                <w:szCs w:val="20"/>
              </w:rPr>
              <w:t>(Grad D)</w:t>
            </w:r>
          </w:p>
          <w:p w:rsidR="008F0F9F" w:rsidRPr="009C7761" w:rsidRDefault="008F0F9F">
            <w:pPr>
              <w:spacing w:beforeAutospacing="1" w:afterAutospacing="1"/>
            </w:pPr>
          </w:p>
          <w:p w:rsidR="008F0F9F" w:rsidRPr="009C7761" w:rsidRDefault="008F0F9F">
            <w:pPr>
              <w:ind w:left="720"/>
            </w:pPr>
            <w:r w:rsidRPr="009C77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6" w:type="dxa"/>
            <w:tcBorders>
              <w:right w:val="nil"/>
            </w:tcBorders>
          </w:tcPr>
          <w:p w:rsidR="008F0F9F" w:rsidRPr="009C7761" w:rsidRDefault="008F0F9F">
            <w:pPr>
              <w:spacing w:beforeAutospacing="1" w:afterAutospacing="1"/>
            </w:pPr>
          </w:p>
        </w:tc>
      </w:tr>
    </w:tbl>
    <w:p w:rsidR="008F0F9F" w:rsidRDefault="008F0F9F"/>
    <w:sectPr w:rsidR="008F0F9F" w:rsidSect="0072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972"/>
    <w:multiLevelType w:val="multilevel"/>
    <w:tmpl w:val="4EA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E3C49"/>
    <w:multiLevelType w:val="multilevel"/>
    <w:tmpl w:val="04B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A6421"/>
    <w:multiLevelType w:val="multilevel"/>
    <w:tmpl w:val="201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4F233C"/>
    <w:multiLevelType w:val="multilevel"/>
    <w:tmpl w:val="CD7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503546"/>
    <w:multiLevelType w:val="multilevel"/>
    <w:tmpl w:val="F0D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750C53"/>
    <w:multiLevelType w:val="multilevel"/>
    <w:tmpl w:val="E39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D200B7"/>
    <w:multiLevelType w:val="multilevel"/>
    <w:tmpl w:val="594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F23939"/>
    <w:multiLevelType w:val="multilevel"/>
    <w:tmpl w:val="D8C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595760"/>
    <w:multiLevelType w:val="multilevel"/>
    <w:tmpl w:val="A31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630289"/>
    <w:multiLevelType w:val="multilevel"/>
    <w:tmpl w:val="CF7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CA25E2"/>
    <w:multiLevelType w:val="multilevel"/>
    <w:tmpl w:val="184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C6268D"/>
    <w:multiLevelType w:val="multilevel"/>
    <w:tmpl w:val="619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D631E3"/>
    <w:multiLevelType w:val="multilevel"/>
    <w:tmpl w:val="3D1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20061A"/>
    <w:multiLevelType w:val="multilevel"/>
    <w:tmpl w:val="639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F67D71"/>
    <w:multiLevelType w:val="multilevel"/>
    <w:tmpl w:val="590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DA32EA"/>
    <w:multiLevelType w:val="multilevel"/>
    <w:tmpl w:val="DEF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4A0280"/>
    <w:multiLevelType w:val="multilevel"/>
    <w:tmpl w:val="516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0A77BE"/>
    <w:multiLevelType w:val="multilevel"/>
    <w:tmpl w:val="2D4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CD2096"/>
    <w:multiLevelType w:val="multilevel"/>
    <w:tmpl w:val="8AE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747BBF"/>
    <w:multiLevelType w:val="multilevel"/>
    <w:tmpl w:val="275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7848AA"/>
    <w:multiLevelType w:val="multilevel"/>
    <w:tmpl w:val="C4C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99397E"/>
    <w:multiLevelType w:val="multilevel"/>
    <w:tmpl w:val="9CA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E34BF4"/>
    <w:multiLevelType w:val="multilevel"/>
    <w:tmpl w:val="211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FF76C2"/>
    <w:multiLevelType w:val="multilevel"/>
    <w:tmpl w:val="6D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C94CE7"/>
    <w:multiLevelType w:val="multilevel"/>
    <w:tmpl w:val="055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5F6588"/>
    <w:multiLevelType w:val="multilevel"/>
    <w:tmpl w:val="9CA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1B429D"/>
    <w:multiLevelType w:val="multilevel"/>
    <w:tmpl w:val="6E9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1410FC"/>
    <w:multiLevelType w:val="multilevel"/>
    <w:tmpl w:val="901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B7A4C36"/>
    <w:multiLevelType w:val="multilevel"/>
    <w:tmpl w:val="F98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483556"/>
    <w:multiLevelType w:val="multilevel"/>
    <w:tmpl w:val="DF6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CD24ED"/>
    <w:multiLevelType w:val="multilevel"/>
    <w:tmpl w:val="B85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F74B8F"/>
    <w:multiLevelType w:val="multilevel"/>
    <w:tmpl w:val="CCE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FA1C48"/>
    <w:multiLevelType w:val="multilevel"/>
    <w:tmpl w:val="573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D428FA"/>
    <w:multiLevelType w:val="multilevel"/>
    <w:tmpl w:val="5DA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870A7"/>
    <w:multiLevelType w:val="multilevel"/>
    <w:tmpl w:val="100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FF1350"/>
    <w:multiLevelType w:val="multilevel"/>
    <w:tmpl w:val="340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19373F"/>
    <w:multiLevelType w:val="multilevel"/>
    <w:tmpl w:val="5CA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81390C"/>
    <w:multiLevelType w:val="multilevel"/>
    <w:tmpl w:val="8D0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AD6B48"/>
    <w:multiLevelType w:val="multilevel"/>
    <w:tmpl w:val="E5A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C51824"/>
    <w:multiLevelType w:val="multilevel"/>
    <w:tmpl w:val="9E3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354B1E"/>
    <w:multiLevelType w:val="multilevel"/>
    <w:tmpl w:val="10E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B512AA"/>
    <w:multiLevelType w:val="multilevel"/>
    <w:tmpl w:val="6C4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D85315"/>
    <w:multiLevelType w:val="multilevel"/>
    <w:tmpl w:val="322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FE61B3"/>
    <w:multiLevelType w:val="multilevel"/>
    <w:tmpl w:val="A28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5A35E5"/>
    <w:multiLevelType w:val="multilevel"/>
    <w:tmpl w:val="B93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A554DA"/>
    <w:multiLevelType w:val="multilevel"/>
    <w:tmpl w:val="0C8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3D86ABE"/>
    <w:multiLevelType w:val="multilevel"/>
    <w:tmpl w:val="776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0205E6"/>
    <w:multiLevelType w:val="multilevel"/>
    <w:tmpl w:val="D046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77D4AB1"/>
    <w:multiLevelType w:val="multilevel"/>
    <w:tmpl w:val="679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BBD63DB"/>
    <w:multiLevelType w:val="multilevel"/>
    <w:tmpl w:val="385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44"/>
  </w:num>
  <w:num w:numId="4">
    <w:abstractNumId w:val="42"/>
  </w:num>
  <w:num w:numId="5">
    <w:abstractNumId w:val="40"/>
  </w:num>
  <w:num w:numId="6">
    <w:abstractNumId w:val="5"/>
  </w:num>
  <w:num w:numId="7">
    <w:abstractNumId w:val="30"/>
  </w:num>
  <w:num w:numId="8">
    <w:abstractNumId w:val="46"/>
  </w:num>
  <w:num w:numId="9">
    <w:abstractNumId w:val="9"/>
  </w:num>
  <w:num w:numId="10">
    <w:abstractNumId w:val="18"/>
  </w:num>
  <w:num w:numId="11">
    <w:abstractNumId w:val="35"/>
  </w:num>
  <w:num w:numId="12">
    <w:abstractNumId w:val="21"/>
  </w:num>
  <w:num w:numId="13">
    <w:abstractNumId w:val="10"/>
  </w:num>
  <w:num w:numId="14">
    <w:abstractNumId w:val="24"/>
  </w:num>
  <w:num w:numId="15">
    <w:abstractNumId w:val="26"/>
  </w:num>
  <w:num w:numId="16">
    <w:abstractNumId w:val="1"/>
  </w:num>
  <w:num w:numId="17">
    <w:abstractNumId w:val="12"/>
  </w:num>
  <w:num w:numId="18">
    <w:abstractNumId w:val="2"/>
  </w:num>
  <w:num w:numId="19">
    <w:abstractNumId w:val="49"/>
  </w:num>
  <w:num w:numId="20">
    <w:abstractNumId w:val="31"/>
  </w:num>
  <w:num w:numId="21">
    <w:abstractNumId w:val="39"/>
  </w:num>
  <w:num w:numId="22">
    <w:abstractNumId w:val="7"/>
  </w:num>
  <w:num w:numId="23">
    <w:abstractNumId w:val="37"/>
  </w:num>
  <w:num w:numId="24">
    <w:abstractNumId w:val="38"/>
  </w:num>
  <w:num w:numId="25">
    <w:abstractNumId w:val="27"/>
  </w:num>
  <w:num w:numId="26">
    <w:abstractNumId w:val="19"/>
  </w:num>
  <w:num w:numId="27">
    <w:abstractNumId w:val="48"/>
  </w:num>
  <w:num w:numId="28">
    <w:abstractNumId w:val="23"/>
  </w:num>
  <w:num w:numId="29">
    <w:abstractNumId w:val="45"/>
  </w:num>
  <w:num w:numId="30">
    <w:abstractNumId w:val="32"/>
  </w:num>
  <w:num w:numId="31">
    <w:abstractNumId w:val="4"/>
  </w:num>
  <w:num w:numId="32">
    <w:abstractNumId w:val="8"/>
  </w:num>
  <w:num w:numId="33">
    <w:abstractNumId w:val="47"/>
  </w:num>
  <w:num w:numId="34">
    <w:abstractNumId w:val="16"/>
  </w:num>
  <w:num w:numId="35">
    <w:abstractNumId w:val="43"/>
  </w:num>
  <w:num w:numId="36">
    <w:abstractNumId w:val="36"/>
  </w:num>
  <w:num w:numId="37">
    <w:abstractNumId w:val="41"/>
  </w:num>
  <w:num w:numId="38">
    <w:abstractNumId w:val="14"/>
  </w:num>
  <w:num w:numId="39">
    <w:abstractNumId w:val="25"/>
  </w:num>
  <w:num w:numId="40">
    <w:abstractNumId w:val="28"/>
  </w:num>
  <w:num w:numId="41">
    <w:abstractNumId w:val="0"/>
  </w:num>
  <w:num w:numId="42">
    <w:abstractNumId w:val="17"/>
  </w:num>
  <w:num w:numId="43">
    <w:abstractNumId w:val="22"/>
  </w:num>
  <w:num w:numId="44">
    <w:abstractNumId w:val="15"/>
  </w:num>
  <w:num w:numId="45">
    <w:abstractNumId w:val="11"/>
  </w:num>
  <w:num w:numId="46">
    <w:abstractNumId w:val="13"/>
  </w:num>
  <w:num w:numId="47">
    <w:abstractNumId w:val="3"/>
  </w:num>
  <w:num w:numId="48">
    <w:abstractNumId w:val="6"/>
  </w:num>
  <w:num w:numId="49">
    <w:abstractNumId w:val="2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cc5eea78-6254-4969-a1e0-e5968be22a9b}"/>
  </w:docVars>
  <w:rsids>
    <w:rsidRoot w:val="00C15548"/>
    <w:rsid w:val="000649CE"/>
    <w:rsid w:val="00081B61"/>
    <w:rsid w:val="00097E88"/>
    <w:rsid w:val="00117964"/>
    <w:rsid w:val="00366D4B"/>
    <w:rsid w:val="006E0DF8"/>
    <w:rsid w:val="00721DF7"/>
    <w:rsid w:val="00836DB1"/>
    <w:rsid w:val="008F0F9F"/>
    <w:rsid w:val="009C7761"/>
    <w:rsid w:val="00C15548"/>
    <w:rsid w:val="00D47A51"/>
    <w:rsid w:val="00E24A1B"/>
    <w:rsid w:val="00E763A0"/>
    <w:rsid w:val="00F12BD8"/>
    <w:rsid w:val="00FB60B2"/>
    <w:rsid w:val="00FC40B0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F7"/>
    <w:pPr>
      <w:spacing w:after="160" w:line="259" w:lineRule="auto"/>
    </w:pPr>
    <w:rPr>
      <w:lang w:val="de-DE" w:eastAsia="en-US"/>
    </w:rPr>
  </w:style>
  <w:style w:type="paragraph" w:styleId="Heading1">
    <w:name w:val="heading 1"/>
    <w:basedOn w:val="Normal"/>
    <w:link w:val="Heading1Char"/>
    <w:uiPriority w:val="99"/>
    <w:qFormat/>
    <w:rsid w:val="00C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C15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54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554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1554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1554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5548"/>
    <w:rPr>
      <w:rFonts w:ascii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36D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6D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827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Präoperative Empfehlungen für eine laparoskopische Cholezystektomie</dc:title>
  <dc:subject/>
  <dc:creator>Aline</dc:creator>
  <cp:keywords/>
  <dc:description/>
  <cp:lastModifiedBy>Alfabet</cp:lastModifiedBy>
  <cp:revision>2</cp:revision>
  <dcterms:created xsi:type="dcterms:W3CDTF">2018-11-09T07:13:00Z</dcterms:created>
  <dcterms:modified xsi:type="dcterms:W3CDTF">2018-11-09T07:13:00Z</dcterms:modified>
</cp:coreProperties>
</file>