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548" w:rsidRPr="004002FD" w:rsidRDefault="00C15548" w:rsidP="00C155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</w:pPr>
      <w:bookmarkStart w:id="0" w:name="_GoBack"/>
      <w:bookmarkEnd w:id="0"/>
      <w:r w:rsidRPr="004002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Recomm</w:t>
      </w:r>
      <w:r w:rsidR="00940AFC" w:rsidRPr="004002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a</w:t>
      </w:r>
      <w:r w:rsidRPr="004002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ndations</w:t>
      </w:r>
      <w:r w:rsidR="00940AFC" w:rsidRPr="004002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 xml:space="preserve"> préopératoires pour la cholécystectomie laparoscopique</w:t>
      </w:r>
    </w:p>
    <w:p w:rsidR="00C15548" w:rsidRPr="004002FD" w:rsidRDefault="00940AFC" w:rsidP="00C15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4002F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Recommandations préopératoires pour la cholécystectomie laparoscopique</w:t>
      </w:r>
    </w:p>
    <w:p w:rsidR="00C15548" w:rsidRPr="004002FD" w:rsidRDefault="00C15548" w:rsidP="00C155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680"/>
      </w:tblGrid>
      <w:tr w:rsidR="00C15548" w:rsidRPr="004002FD" w:rsidTr="00C1554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705CC3" w:rsidP="00705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bookmarkStart w:id="1" w:name="_Toc158030674"/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RECOMMANDATIONS PRÉOPERATOIRE</w:t>
            </w:r>
            <w:bookmarkEnd w:id="1"/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705CC3" w:rsidP="00C15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bookmarkStart w:id="2" w:name="_Toc158030675"/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NON RECOMMA</w:t>
            </w:r>
            <w:r w:rsidR="00C15548"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ND</w:t>
            </w:r>
            <w:bookmarkEnd w:id="2"/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É</w:t>
            </w:r>
          </w:p>
        </w:tc>
      </w:tr>
      <w:tr w:rsidR="00C15548" w:rsidRPr="004002FD" w:rsidTr="00C1554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705CC3" w:rsidP="00C15548">
            <w:pPr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en-GB"/>
              </w:rPr>
            </w:pPr>
            <w:bookmarkStart w:id="3" w:name="_Toc158030676"/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ANALGÉ</w:t>
            </w:r>
            <w:r w:rsidR="00C15548"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SI</w:t>
            </w:r>
            <w:bookmarkEnd w:id="3"/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E SYSTÉMIQUE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705CC3" w:rsidP="00C155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Corticosteroï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d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es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dexam</w:t>
            </w:r>
            <w:r w:rsidR="00705CC3"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é</w:t>
            </w: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 xml:space="preserve">thasone (Grade B </w:t>
            </w:r>
            <w:r w:rsidR="00705CC3"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pour ses effets</w:t>
            </w: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 xml:space="preserve"> analg</w:t>
            </w:r>
            <w:r w:rsidR="00705CC3"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ésiques </w:t>
            </w: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 xml:space="preserve">; Grade A </w:t>
            </w:r>
            <w:r w:rsidR="00705CC3"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pour ses effets antiémétiques</w:t>
            </w: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ED66BC" w:rsidP="00C155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Inhibiteurs sélectifs de la COX-2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(Grade B)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1F5B89" w:rsidP="00C155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Gabapentinoï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d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e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s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gabapentin</w:t>
            </w:r>
            <w:r w:rsidR="001F5B89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e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B)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705CC3" w:rsidRPr="004002FD" w:rsidRDefault="00705CC3" w:rsidP="00705CC3">
            <w:pPr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en-GB"/>
              </w:rPr>
            </w:pPr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ANALGÉSIE SYSTÉMIQUE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705CC3" w:rsidP="00C155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Agonistes des récepteurs adrénergiques 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Alpha-2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clonidine (Grade D)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0C7E7B" w:rsidP="00C15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AINS conventionnels 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(Grade B)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ED66BC" w:rsidP="00C1554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AL 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IV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ED66BC" w:rsidP="00C1554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Antagonistes de 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NMDA 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="001F5B89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dextromé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thorphan</w:t>
            </w:r>
            <w:r w:rsidR="001F5B89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e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(Grade D)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="001F5B89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ké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tamine (Grade D)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="001F5B89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magné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sium (Grade B)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1F5B89" w:rsidP="00C155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Opioï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d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e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s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forts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="001F5B89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opioïdes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(Grade B)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ED66BC" w:rsidP="00C1554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Opioï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d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es faibles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tramadol</w:t>
            </w:r>
            <w:r w:rsidR="00ED66BC"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 xml:space="preserve">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B)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Parac</w:t>
            </w:r>
            <w:r w:rsidR="001F5B89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é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tamol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B)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 </w:t>
            </w:r>
          </w:p>
        </w:tc>
      </w:tr>
      <w:tr w:rsidR="00C15548" w:rsidRPr="00FD3025" w:rsidTr="00C15548"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ED66BC" w:rsidP="00C15548">
            <w:pPr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en-GB"/>
              </w:rPr>
            </w:pPr>
            <w:bookmarkStart w:id="4" w:name="_Toc158030678"/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ANALGÉ</w:t>
            </w:r>
            <w:r w:rsidR="00C15548"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SI</w:t>
            </w:r>
            <w:bookmarkEnd w:id="4"/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 xml:space="preserve">E RÉGIONALE 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ED66BC" w:rsidP="00C1554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I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nfiltration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de la plaie avec AL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>        </w:t>
            </w:r>
            <w:r w:rsidR="00ED66BC" w:rsidRPr="002A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 xml:space="preserve">Infiltration de la plaie avec AL </w:t>
            </w:r>
            <w:r w:rsidR="008C0C2F" w:rsidRPr="002A6B8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à</w:t>
            </w:r>
            <w:r w:rsidR="008C0C2F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</w:t>
            </w:r>
            <w:r w:rsidR="00165EAC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longue durée d’</w:t>
            </w:r>
            <w:r w:rsidR="008C0C2F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action </w:t>
            </w:r>
            <w:r w:rsidR="002A6B8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A)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</w:t>
            </w:r>
            <w:r w:rsidR="008C0C2F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pour réduire la douleur de la plaie, mais pas la douleur d'épaule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ED66BC" w:rsidP="00C155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Analgésie </w:t>
            </w:r>
            <w:r w:rsidR="008F7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péridural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e 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="008C0C2F"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chez les patients pulmonaires à haut risque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(Grade D)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ED66BC" w:rsidP="00C15548">
            <w:pPr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en-GB"/>
              </w:rPr>
            </w:pPr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 xml:space="preserve">ANALGÉSIE RÉGIONALE 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1F5B89" w:rsidP="00C155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Bloc paraverté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bral 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ED66BC" w:rsidP="00C1554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AL rachidienne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+ 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opioï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d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e fort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ED66BC" w:rsidP="00C155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Analgésie </w:t>
            </w:r>
            <w:r w:rsidR="008F7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péridural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e 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="008C0C2F"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sauf chez les patients pulmonaires à haut risque</w:t>
            </w:r>
            <w:r w:rsidR="008C0C2F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</w:tc>
      </w:tr>
      <w:tr w:rsidR="00C15548" w:rsidRPr="004002FD" w:rsidTr="00C15548"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en-GB"/>
              </w:rPr>
            </w:pPr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8C0C2F" w:rsidP="00C15548">
            <w:pPr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en-GB"/>
              </w:rPr>
            </w:pPr>
            <w:bookmarkStart w:id="5" w:name="_Toc158030680"/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AUTRES</w:t>
            </w:r>
            <w:r w:rsidR="00C15548"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 xml:space="preserve"> INTERVENTIONS</w:t>
            </w:r>
            <w:bookmarkEnd w:id="5"/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8C0C2F" w:rsidP="00C155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lastRenderedPageBreak/>
              <w:t>C</w:t>
            </w:r>
            <w:r w:rsidR="00C15548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arbohydrate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oral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C15548" w:rsidRPr="004002FD" w:rsidRDefault="00C15548" w:rsidP="00C1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</w:tc>
      </w:tr>
    </w:tbl>
    <w:p w:rsidR="000649CE" w:rsidRPr="004002FD" w:rsidRDefault="000649CE">
      <w:pPr>
        <w:rPr>
          <w:lang w:val="fr-FR"/>
        </w:rPr>
      </w:pPr>
    </w:p>
    <w:p w:rsidR="00836DB1" w:rsidRPr="004002FD" w:rsidRDefault="00836DB1">
      <w:pPr>
        <w:rPr>
          <w:lang w:val="fr-FR"/>
        </w:rPr>
      </w:pPr>
    </w:p>
    <w:p w:rsidR="004F375A" w:rsidRPr="004002FD" w:rsidRDefault="004F375A" w:rsidP="004F37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</w:pPr>
      <w:r w:rsidRPr="004002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>Recommandations peropératoires pour la cholécystectomie laparoscopique</w:t>
      </w:r>
    </w:p>
    <w:p w:rsidR="00836DB1" w:rsidRPr="004002FD" w:rsidRDefault="004F375A" w:rsidP="004F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4002F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Recommandations peropératoires pour la cholécystectomie laparoscopique</w:t>
      </w:r>
    </w:p>
    <w:p w:rsidR="00836DB1" w:rsidRPr="004002FD" w:rsidRDefault="00836DB1" w:rsidP="00836D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680"/>
      </w:tblGrid>
      <w:tr w:rsidR="004F375A" w:rsidRPr="004002FD" w:rsidTr="00836DB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75A" w:rsidRPr="004002FD" w:rsidRDefault="004F375A" w:rsidP="004F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4F375A" w:rsidRPr="004002FD" w:rsidRDefault="004F375A" w:rsidP="004F3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RECOMMANDATIONS PRÉOPERATOIRES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375A" w:rsidRPr="004002FD" w:rsidRDefault="004F375A" w:rsidP="004F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4F375A" w:rsidRPr="004002FD" w:rsidRDefault="004F375A" w:rsidP="004F3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NON RECOMMANDÉ</w:t>
            </w:r>
          </w:p>
        </w:tc>
      </w:tr>
      <w:tr w:rsidR="00836DB1" w:rsidRPr="00FD3025" w:rsidTr="00836DB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4F375A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en-GB"/>
              </w:rPr>
              <w:t>ANALGÉ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en-GB"/>
              </w:rPr>
              <w:t>SI</w:t>
            </w:r>
            <w:r w:rsidRPr="004002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en-GB"/>
              </w:rPr>
              <w:t xml:space="preserve">E SYSTÉMIQUE 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4F375A" w:rsidP="00836DB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AINS c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onvention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nels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val="fr-FR" w:eastAsia="en-GB"/>
              </w:rPr>
              <w:t xml:space="preserve">          </w:t>
            </w:r>
            <w:r w:rsidR="004F375A"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 xml:space="preserve">à la fin de la chirurgie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(Grade D) 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165EAC" w:rsidP="00836DB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hAnsi="Times New Roman"/>
                <w:b/>
                <w:iCs/>
                <w:sz w:val="20"/>
                <w:szCs w:val="20"/>
                <w:lang w:val="fr-FR"/>
              </w:rPr>
              <w:t>Inhibiteurs sélectif</w:t>
            </w:r>
            <w:r w:rsidR="004F375A" w:rsidRPr="004002FD">
              <w:rPr>
                <w:rFonts w:ascii="Times New Roman" w:hAnsi="Times New Roman"/>
                <w:b/>
                <w:iCs/>
                <w:sz w:val="20"/>
                <w:szCs w:val="20"/>
                <w:lang w:val="fr-FR"/>
              </w:rPr>
              <w:t>s de la COX-2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(Grade D) 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en-GB"/>
              </w:rPr>
              <w:lastRenderedPageBreak/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165EAC" w:rsidP="00836DB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Opioïdes forts à courte durée d’action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val="fr-FR" w:eastAsia="en-GB"/>
              </w:rPr>
              <w:t xml:space="preserve">          </w:t>
            </w:r>
            <w:r w:rsidR="00165EAC" w:rsidRPr="004002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en-GB"/>
              </w:rPr>
              <w:t>dans le cadre de la</w:t>
            </w:r>
            <w:r w:rsidRPr="004002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en-GB"/>
              </w:rPr>
              <w:t xml:space="preserve"> technique</w:t>
            </w:r>
            <w:r w:rsidR="00165EAC" w:rsidRPr="004002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en-GB"/>
              </w:rPr>
              <w:t xml:space="preserve"> anesthésique </w:t>
            </w:r>
            <w:r w:rsidRPr="004002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en-GB"/>
              </w:rPr>
              <w:t>(Grade D)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4F375A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en-GB"/>
              </w:rPr>
              <w:t>ANALGÉSIE SYSTÉMIQUE</w:t>
            </w: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4F375A" w:rsidP="00836DB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Antagoniste de NMDA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="004F375A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dextromé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thorphan</w:t>
            </w:r>
            <w:r w:rsidR="004F375A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e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(Grade D)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="004F375A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infusion de ké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tamine (Grade D)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="004F375A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infusion de magné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sium (Grade B)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1865B1" w:rsidP="00836DB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lastRenderedPageBreak/>
              <w:t>O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pio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ïdes forts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>         </w:t>
            </w:r>
            <w:r w:rsidR="001865B1"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Opioïdes forts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 </w:t>
            </w:r>
            <w:r w:rsidR="00165EAC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à plus longue durée d’action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(Grade B)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</w:tc>
      </w:tr>
      <w:tr w:rsidR="00836DB1" w:rsidRPr="004002FD" w:rsidTr="00836DB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en-GB"/>
              </w:rPr>
            </w:pPr>
            <w:bookmarkStart w:id="6" w:name="_Toc158030685"/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ANALG</w:t>
            </w:r>
            <w:r w:rsidR="0050295C"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É</w:t>
            </w:r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SI</w:t>
            </w:r>
            <w:bookmarkEnd w:id="6"/>
            <w:r w:rsidR="0050295C"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E RÉGIONALE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BF4F5C" w:rsidP="00836DB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I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nfiltration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de la plaie avec AL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BF4F5C" w:rsidP="00836DB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infiltration de la plaie avec AL à longue durée d’action (Grade A)</w:t>
            </w:r>
            <w:r w:rsidR="008F7AE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pour réduire la douleur de la plaie, mais pas la douleur d'épaule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BF4F5C" w:rsidP="00836DB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AL IP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="00BF4F5C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AL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IP (Grade A) </w:t>
            </w:r>
            <w:r w:rsidR="00BF4F5C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pour réduire la douleur de la plaie, mais pas la douleur d'épaule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Combin</w:t>
            </w:r>
            <w:r w:rsidR="00BF4F5C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aison de l’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infiltration</w:t>
            </w:r>
            <w:r w:rsidR="00BF4F5C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de la plaie avec AL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/</w:t>
            </w:r>
            <w:r w:rsidR="00BF4F5C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LA 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IP 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A</w:t>
            </w:r>
            <w:r w:rsidR="00BF4F5C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; </w:t>
            </w:r>
            <w:r w:rsidR="00A30403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la toxicité de la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dose </w:t>
            </w:r>
            <w:r w:rsidR="00A30403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doit être contrôlée,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Grade D)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50295C" w:rsidP="00836DB1">
            <w:pPr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en-GB"/>
              </w:rPr>
            </w:pPr>
            <w:r w:rsidRPr="004002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r-FR" w:eastAsia="en-GB"/>
              </w:rPr>
              <w:t>ANALGÉSIE RÉGIONALE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BF4F5C" w:rsidP="00836DB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Épiné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phrine 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dans le cadre de la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solution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AL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B)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BF4F5C" w:rsidP="00836DB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Opioïde fort intrapé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riton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é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al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4048ED" w:rsidRPr="004002FD" w:rsidRDefault="004048ED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A</w:t>
            </w:r>
            <w:r w:rsidR="00BF4F5C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L interpleurale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B)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A30403" w:rsidP="00836D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002FD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Opioïde fort interpleural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B)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</w:tc>
      </w:tr>
      <w:tr w:rsidR="00836DB1" w:rsidRPr="00FD3025" w:rsidTr="00836DB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A30403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TECHNIQUES ANESTHÉ</w:t>
            </w:r>
            <w:r w:rsidR="002A6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S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IQUES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A30403" w:rsidP="00836DB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An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est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hésie générale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A30403" w:rsidRPr="004002FD" w:rsidRDefault="00A30403" w:rsidP="00A3040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Anesthésie </w:t>
            </w:r>
            <w:r w:rsidR="008F7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péridural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e/générale combinée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="004048ED"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chez les patients pulmonaires à haut risque</w:t>
            </w:r>
            <w:r w:rsidR="004048ED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A30403" w:rsidRPr="004002FD" w:rsidRDefault="00A30403" w:rsidP="00A3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TECHNIQUES ANESTHÉ</w:t>
            </w:r>
            <w:r w:rsidR="002A6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S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IQUES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A30403" w:rsidP="00836DB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Anesthésie </w:t>
            </w:r>
            <w:r w:rsidR="008F7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péridural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e/géné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ral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e combinée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="004048ED"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pour anesthésie de routine</w:t>
            </w:r>
            <w:r w:rsid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 </w:t>
            </w:r>
          </w:p>
        </w:tc>
      </w:tr>
      <w:tr w:rsidR="00836DB1" w:rsidRPr="004002FD" w:rsidTr="00836DB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 TECHNIQUES</w:t>
            </w:r>
            <w:r w:rsidR="004048ED"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 xml:space="preserve"> OPÉRATOIRES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4048ED" w:rsidP="00836DB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CO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fr-FR" w:eastAsia="en-GB"/>
              </w:rPr>
              <w:t>2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L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basse pression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A)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‘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F85BCA" w:rsidP="00836DB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L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avage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  <w:r w:rsidR="002A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salin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, 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suivi d’une aspiration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A)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4048ED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TECHNIQUES OPÉRATOIRES</w:t>
            </w: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4048ED" w:rsidRPr="004002FD" w:rsidRDefault="004048ED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9E644C" w:rsidP="00836DB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Cholécystectomie laparoscopique sans gaz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A)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F85BCA" w:rsidP="00836DB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Pneumopéritoine</w:t>
            </w:r>
            <w:r w:rsidR="003E7920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avec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  <w:r w:rsidR="003E7920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CO</w:t>
            </w:r>
            <w:r w:rsidR="003E7920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fr-FR" w:eastAsia="en-GB"/>
              </w:rPr>
              <w:t>2</w:t>
            </w:r>
            <w:r w:rsidR="003E7920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humidifié 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et </w:t>
            </w:r>
            <w:r w:rsidR="003E7920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chauffé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</w:t>
            </w:r>
            <w:r w:rsidR="002A6B8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s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D </w:t>
            </w:r>
            <w:r w:rsidR="00F85BCA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et A, respectivement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3E7920" w:rsidP="00836DB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Pneumopéritoine avec 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N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fr-FR" w:eastAsia="en-GB"/>
              </w:rPr>
              <w:t>2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O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3E7920" w:rsidP="00836DB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Pneumopéritoine avec hélium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B)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3E7920" w:rsidP="00836DB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Dimension 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total</w:t>
            </w:r>
            <w:r w:rsidR="003A29D0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e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plus réduite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de l’incision avec 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trocar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t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3A29D0" w:rsidP="00836DB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Trocarts à expansion radiale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795D7C" w:rsidP="00836DB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Drain sous-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h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é</w:t>
            </w:r>
            <w:r w:rsidR="00836DB1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pati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que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 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spacing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Aspiration </w:t>
            </w:r>
            <w:r w:rsidR="002A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du gaz du</w:t>
            </w:r>
            <w:r w:rsidR="00795D7C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 xml:space="preserve"> pneumopé</w:t>
            </w:r>
            <w:r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rito</w:t>
            </w:r>
            <w:r w:rsidR="00795D7C" w:rsidRPr="00400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en-GB"/>
              </w:rPr>
              <w:t>ine</w:t>
            </w:r>
          </w:p>
          <w:p w:rsidR="00836DB1" w:rsidRPr="004002FD" w:rsidRDefault="00836DB1" w:rsidP="00836D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  <w:p w:rsidR="00836DB1" w:rsidRPr="004002FD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en-GB"/>
              </w:rPr>
              <w:t>–</w:t>
            </w:r>
            <w:r w:rsidRPr="004002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fr-FR" w:eastAsia="en-GB"/>
              </w:rPr>
              <w:t xml:space="preserve">          </w:t>
            </w:r>
            <w:r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(Grade D)</w:t>
            </w:r>
          </w:p>
        </w:tc>
      </w:tr>
    </w:tbl>
    <w:p w:rsidR="00836DB1" w:rsidRPr="004002FD" w:rsidRDefault="00836DB1">
      <w:pPr>
        <w:rPr>
          <w:lang w:val="fr-FR"/>
        </w:rPr>
      </w:pPr>
    </w:p>
    <w:p w:rsidR="00836DB1" w:rsidRPr="004002FD" w:rsidRDefault="00836DB1">
      <w:pPr>
        <w:rPr>
          <w:lang w:val="fr-FR"/>
        </w:rPr>
      </w:pPr>
    </w:p>
    <w:p w:rsidR="00C070B9" w:rsidRPr="004002FD" w:rsidRDefault="00C070B9" w:rsidP="00836DB1">
      <w:pPr>
        <w:pStyle w:val="Titre1"/>
        <w:rPr>
          <w:lang w:val="fr-FR"/>
        </w:rPr>
      </w:pPr>
      <w:r w:rsidRPr="004002FD">
        <w:rPr>
          <w:lang w:val="fr-FR"/>
        </w:rPr>
        <w:t>Recommandations postopératoires pour la cholécystectomie laparoscopique</w:t>
      </w:r>
    </w:p>
    <w:p w:rsidR="00836DB1" w:rsidRPr="004002FD" w:rsidRDefault="00D27244" w:rsidP="00836DB1">
      <w:pPr>
        <w:pStyle w:val="NormalWeb"/>
        <w:rPr>
          <w:lang w:val="fr-FR"/>
        </w:rPr>
      </w:pPr>
      <w:r w:rsidRPr="004002FD">
        <w:rPr>
          <w:lang w:val="fr-FR"/>
        </w:rPr>
        <w:t>Recommandations postopératoires pour la cholécystectomie laparoscopique</w:t>
      </w:r>
    </w:p>
    <w:p w:rsidR="00836DB1" w:rsidRPr="004002FD" w:rsidRDefault="00836DB1" w:rsidP="00836DB1">
      <w:pPr>
        <w:rPr>
          <w:lang w:val="fr-FR"/>
        </w:rPr>
      </w:pPr>
    </w:p>
    <w:p w:rsidR="00836DB1" w:rsidRPr="004002FD" w:rsidRDefault="00836DB1" w:rsidP="00836DB1">
      <w:pPr>
        <w:pStyle w:val="NormalWeb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4"/>
        <w:gridCol w:w="4366"/>
      </w:tblGrid>
      <w:tr w:rsidR="00D27244" w:rsidRPr="004002FD" w:rsidTr="00836DB1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44" w:rsidRPr="004002FD" w:rsidRDefault="00D27244" w:rsidP="0074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en-GB"/>
              </w:rPr>
            </w:pPr>
          </w:p>
          <w:p w:rsidR="00D27244" w:rsidRPr="004002FD" w:rsidRDefault="00D27244" w:rsidP="00746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RECOMMANDATIONS POSTOPÉRATOIRES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7244" w:rsidRPr="004002FD" w:rsidRDefault="00D27244" w:rsidP="0074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en-GB"/>
              </w:rPr>
            </w:pPr>
          </w:p>
          <w:p w:rsidR="00D27244" w:rsidRPr="004002FD" w:rsidRDefault="00D27244" w:rsidP="00746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en-GB"/>
              </w:rPr>
            </w:pPr>
            <w:r w:rsidRPr="004002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en-GB"/>
              </w:rPr>
              <w:t>NON RECOMMANDÉ</w:t>
            </w:r>
          </w:p>
        </w:tc>
      </w:tr>
      <w:tr w:rsidR="00836DB1" w:rsidRPr="00FD3025" w:rsidTr="00836DB1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C55EDD">
            <w:pPr>
              <w:pStyle w:val="Titre2"/>
              <w:spacing w:before="240" w:beforeAutospacing="0" w:after="60" w:afterAutospacing="0"/>
              <w:rPr>
                <w:lang w:val="fr-FR"/>
              </w:rPr>
            </w:pPr>
            <w:bookmarkStart w:id="7" w:name="_Toc143105165"/>
            <w:bookmarkStart w:id="8" w:name="_Toc158030690"/>
            <w:r w:rsidRPr="004002FD">
              <w:rPr>
                <w:rStyle w:val="Accentuation"/>
                <w:sz w:val="20"/>
                <w:szCs w:val="20"/>
                <w:lang w:val="fr-FR"/>
              </w:rPr>
              <w:t>Analgé</w:t>
            </w:r>
            <w:r w:rsidR="00836DB1" w:rsidRPr="004002FD">
              <w:rPr>
                <w:rStyle w:val="Accentuation"/>
                <w:sz w:val="20"/>
                <w:szCs w:val="20"/>
                <w:lang w:val="fr-FR"/>
              </w:rPr>
              <w:t>si</w:t>
            </w:r>
            <w:bookmarkEnd w:id="7"/>
            <w:bookmarkEnd w:id="8"/>
            <w:r w:rsidRPr="004002FD">
              <w:rPr>
                <w:rStyle w:val="Accentuation"/>
                <w:sz w:val="20"/>
                <w:szCs w:val="20"/>
                <w:lang w:val="fr-FR"/>
              </w:rPr>
              <w:t>e systémique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spacing w:afterAutospacing="1"/>
              <w:ind w:left="720"/>
              <w:rPr>
                <w:lang w:val="fr-FR"/>
              </w:rPr>
            </w:pPr>
          </w:p>
          <w:p w:rsidR="00836DB1" w:rsidRPr="004002FD" w:rsidRDefault="00C55EDD" w:rsidP="00836DB1">
            <w:pPr>
              <w:numPr>
                <w:ilvl w:val="0"/>
                <w:numId w:val="42"/>
              </w:numPr>
              <w:spacing w:after="0" w:line="240" w:lineRule="auto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>AINS conventionnels</w:t>
            </w:r>
            <w:r w:rsidR="00836DB1" w:rsidRPr="004002FD">
              <w:rPr>
                <w:b/>
                <w:bCs/>
                <w:sz w:val="20"/>
                <w:szCs w:val="20"/>
                <w:lang w:val="fr-FR"/>
              </w:rPr>
              <w:tab/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tabs>
                <w:tab w:val="num" w:pos="1080"/>
              </w:tabs>
              <w:ind w:left="1080" w:hanging="360"/>
              <w:rPr>
                <w:lang w:val="fr-FR"/>
              </w:rPr>
            </w:pPr>
            <w:r w:rsidRPr="004002FD">
              <w:rPr>
                <w:iCs/>
                <w:sz w:val="20"/>
                <w:szCs w:val="20"/>
                <w:lang w:val="fr-FR"/>
              </w:rPr>
              <w:t>–</w:t>
            </w:r>
            <w:r w:rsidRPr="004002FD">
              <w:rPr>
                <w:iCs/>
                <w:sz w:val="14"/>
                <w:szCs w:val="14"/>
                <w:lang w:val="fr-FR"/>
              </w:rPr>
              <w:t xml:space="preserve">          </w:t>
            </w:r>
            <w:r w:rsidRPr="004002FD">
              <w:rPr>
                <w:sz w:val="20"/>
                <w:szCs w:val="20"/>
                <w:lang w:val="fr-FR"/>
              </w:rPr>
              <w:t xml:space="preserve">(Grade A) 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spacing w:afterAutospacing="1"/>
              <w:ind w:left="720"/>
              <w:rPr>
                <w:lang w:val="fr-FR"/>
              </w:rPr>
            </w:pPr>
          </w:p>
          <w:p w:rsidR="00836DB1" w:rsidRPr="004002FD" w:rsidRDefault="00C55EDD" w:rsidP="00836DB1">
            <w:pPr>
              <w:numPr>
                <w:ilvl w:val="0"/>
                <w:numId w:val="43"/>
              </w:numPr>
              <w:spacing w:after="0" w:line="240" w:lineRule="auto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 xml:space="preserve">Inhibiteurs sélectifs de la </w:t>
            </w:r>
            <w:r w:rsidR="00836DB1" w:rsidRPr="004002FD">
              <w:rPr>
                <w:b/>
                <w:bCs/>
                <w:sz w:val="20"/>
                <w:szCs w:val="20"/>
                <w:lang w:val="fr-FR"/>
              </w:rPr>
              <w:t>COX-2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tabs>
                <w:tab w:val="num" w:pos="1080"/>
              </w:tabs>
              <w:ind w:left="1080" w:hanging="360"/>
              <w:rPr>
                <w:lang w:val="fr-FR"/>
              </w:rPr>
            </w:pPr>
            <w:r w:rsidRPr="004002FD">
              <w:rPr>
                <w:iCs/>
                <w:sz w:val="20"/>
                <w:szCs w:val="20"/>
                <w:lang w:val="fr-FR"/>
              </w:rPr>
              <w:t>–</w:t>
            </w:r>
            <w:r w:rsidRPr="004002FD">
              <w:rPr>
                <w:iCs/>
                <w:sz w:val="14"/>
                <w:szCs w:val="14"/>
                <w:lang w:val="fr-FR"/>
              </w:rPr>
              <w:t xml:space="preserve">          </w:t>
            </w:r>
            <w:r w:rsidRPr="004002FD">
              <w:rPr>
                <w:sz w:val="20"/>
                <w:szCs w:val="20"/>
                <w:lang w:val="fr-FR"/>
              </w:rPr>
              <w:t xml:space="preserve">(Grade A) 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ind w:left="720"/>
              <w:rPr>
                <w:lang w:val="fr-FR"/>
              </w:rPr>
            </w:pPr>
            <w:r w:rsidRPr="004002FD">
              <w:rPr>
                <w:i/>
                <w:iCs/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C55EDD" w:rsidRPr="004002FD" w:rsidRDefault="00C55EDD" w:rsidP="00C55EDD">
            <w:pPr>
              <w:numPr>
                <w:ilvl w:val="0"/>
                <w:numId w:val="45"/>
              </w:numPr>
              <w:spacing w:after="0" w:line="240" w:lineRule="auto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>Opioïdes forts</w:t>
            </w:r>
          </w:p>
          <w:p w:rsidR="00836DB1" w:rsidRPr="004002FD" w:rsidRDefault="00836DB1">
            <w:pPr>
              <w:pStyle w:val="Retraitcorpsdetexte2"/>
              <w:tabs>
                <w:tab w:val="num" w:pos="720"/>
              </w:tabs>
              <w:spacing w:after="0"/>
              <w:ind w:left="720" w:hanging="360"/>
              <w:rPr>
                <w:lang w:val="fr-FR"/>
              </w:rPr>
            </w:pP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pStyle w:val="Retraitcorpsdetexte2"/>
              <w:tabs>
                <w:tab w:val="num" w:pos="1080"/>
              </w:tabs>
              <w:spacing w:after="0"/>
              <w:ind w:left="1080" w:hanging="360"/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–</w:t>
            </w:r>
            <w:r w:rsidRPr="004002FD">
              <w:rPr>
                <w:sz w:val="14"/>
                <w:szCs w:val="14"/>
                <w:lang w:val="fr-FR"/>
              </w:rPr>
              <w:t xml:space="preserve">          </w:t>
            </w:r>
            <w:r w:rsidR="00746579" w:rsidRPr="004002FD">
              <w:rPr>
                <w:sz w:val="20"/>
                <w:szCs w:val="20"/>
                <w:lang w:val="fr-FR"/>
              </w:rPr>
              <w:t>pour une douleur de haute intensité</w:t>
            </w:r>
            <w:r w:rsidR="002A6B8B">
              <w:rPr>
                <w:sz w:val="20"/>
                <w:szCs w:val="20"/>
                <w:lang w:val="fr-FR"/>
              </w:rPr>
              <w:t>,</w:t>
            </w:r>
            <w:r w:rsidR="00746579" w:rsidRPr="004002FD">
              <w:rPr>
                <w:sz w:val="20"/>
                <w:szCs w:val="20"/>
                <w:lang w:val="fr-FR"/>
              </w:rPr>
              <w:t xml:space="preserve"> </w:t>
            </w:r>
            <w:r w:rsidR="002A6B8B">
              <w:rPr>
                <w:sz w:val="20"/>
                <w:szCs w:val="20"/>
                <w:lang w:val="fr-FR"/>
              </w:rPr>
              <w:lastRenderedPageBreak/>
              <w:t>outre</w:t>
            </w:r>
            <w:r w:rsidR="007E5FA4" w:rsidRPr="004002FD">
              <w:rPr>
                <w:sz w:val="20"/>
                <w:szCs w:val="20"/>
                <w:lang w:val="fr-FR"/>
              </w:rPr>
              <w:t xml:space="preserve"> d’autres agents</w:t>
            </w:r>
            <w:r w:rsidRPr="004002FD">
              <w:rPr>
                <w:sz w:val="20"/>
                <w:szCs w:val="20"/>
                <w:lang w:val="fr-FR"/>
              </w:rPr>
              <w:t xml:space="preserve"> (Grade D)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pStyle w:val="Retraitcorpsdetexte2"/>
              <w:spacing w:after="0"/>
              <w:ind w:left="1080"/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pStyle w:val="Retraitcorpsdetexte2"/>
              <w:tabs>
                <w:tab w:val="num" w:pos="720"/>
              </w:tabs>
              <w:spacing w:after="0"/>
              <w:ind w:left="720" w:hanging="360"/>
              <w:rPr>
                <w:lang w:val="fr-FR"/>
              </w:rPr>
            </w:pPr>
            <w:r w:rsidRPr="004002FD">
              <w:rPr>
                <w:rFonts w:ascii="Symbol" w:eastAsia="Symbol" w:hAnsi="Symbol" w:cs="Symbol"/>
                <w:sz w:val="20"/>
                <w:szCs w:val="20"/>
                <w:lang w:val="fr-FR"/>
              </w:rPr>
              <w:t></w:t>
            </w:r>
            <w:r w:rsidRPr="004002FD">
              <w:rPr>
                <w:rFonts w:eastAsia="Symbol"/>
                <w:sz w:val="14"/>
                <w:szCs w:val="14"/>
                <w:lang w:val="fr-FR"/>
              </w:rPr>
              <w:t xml:space="preserve">         </w:t>
            </w:r>
            <w:r w:rsidR="007E5FA4" w:rsidRPr="004002FD">
              <w:rPr>
                <w:b/>
                <w:bCs/>
                <w:sz w:val="20"/>
                <w:szCs w:val="20"/>
                <w:lang w:val="fr-FR"/>
              </w:rPr>
              <w:t>Opioïdes faibles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pStyle w:val="Retraitcorpsdetexte2"/>
              <w:tabs>
                <w:tab w:val="num" w:pos="1080"/>
              </w:tabs>
              <w:spacing w:after="0"/>
              <w:ind w:left="1080" w:hanging="360"/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–</w:t>
            </w:r>
            <w:r w:rsidRPr="004002FD">
              <w:rPr>
                <w:sz w:val="14"/>
                <w:szCs w:val="14"/>
                <w:lang w:val="fr-FR"/>
              </w:rPr>
              <w:t xml:space="preserve">          </w:t>
            </w:r>
            <w:r w:rsidR="007E5FA4" w:rsidRPr="004002FD">
              <w:rPr>
                <w:sz w:val="20"/>
                <w:szCs w:val="20"/>
                <w:lang w:val="fr-FR"/>
              </w:rPr>
              <w:t xml:space="preserve">pour une </w:t>
            </w:r>
            <w:r w:rsidRPr="004002FD">
              <w:rPr>
                <w:sz w:val="20"/>
                <w:szCs w:val="20"/>
                <w:lang w:val="fr-FR"/>
              </w:rPr>
              <w:t>analg</w:t>
            </w:r>
            <w:r w:rsidR="007E5FA4" w:rsidRPr="004002FD">
              <w:rPr>
                <w:sz w:val="20"/>
                <w:szCs w:val="20"/>
                <w:lang w:val="fr-FR"/>
              </w:rPr>
              <w:t>ésie de secours avec douleur d’intensité moyenne à faible</w:t>
            </w:r>
            <w:r w:rsidR="002A6B8B">
              <w:rPr>
                <w:sz w:val="20"/>
                <w:szCs w:val="20"/>
                <w:lang w:val="fr-FR"/>
              </w:rPr>
              <w:t>, outre</w:t>
            </w:r>
            <w:r w:rsidR="007E5FA4" w:rsidRPr="004002FD">
              <w:rPr>
                <w:sz w:val="20"/>
                <w:szCs w:val="20"/>
                <w:lang w:val="fr-FR"/>
              </w:rPr>
              <w:t xml:space="preserve"> d’autres agents </w:t>
            </w:r>
            <w:r w:rsidRPr="004002FD">
              <w:rPr>
                <w:sz w:val="20"/>
                <w:szCs w:val="20"/>
                <w:lang w:val="fr-FR"/>
              </w:rPr>
              <w:t xml:space="preserve"> (Grade D)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pStyle w:val="Retraitcorpsdetexte2"/>
              <w:spacing w:after="0"/>
              <w:ind w:left="360"/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pStyle w:val="Retraitcorpsdetexte2"/>
              <w:tabs>
                <w:tab w:val="num" w:pos="720"/>
              </w:tabs>
              <w:spacing w:after="0"/>
              <w:ind w:left="720" w:hanging="360"/>
              <w:rPr>
                <w:lang w:val="fr-FR"/>
              </w:rPr>
            </w:pPr>
            <w:r w:rsidRPr="004002FD">
              <w:rPr>
                <w:rFonts w:ascii="Symbol" w:eastAsia="Symbol" w:hAnsi="Symbol" w:cs="Symbol"/>
                <w:sz w:val="20"/>
                <w:szCs w:val="20"/>
                <w:lang w:val="fr-FR"/>
              </w:rPr>
              <w:t></w:t>
            </w:r>
            <w:r w:rsidRPr="004002FD">
              <w:rPr>
                <w:rFonts w:eastAsia="Symbol"/>
                <w:sz w:val="14"/>
                <w:szCs w:val="14"/>
                <w:lang w:val="fr-FR"/>
              </w:rPr>
              <w:t xml:space="preserve">         </w:t>
            </w:r>
            <w:r w:rsidR="00E4163A" w:rsidRPr="004002FD">
              <w:rPr>
                <w:b/>
                <w:bCs/>
                <w:sz w:val="20"/>
                <w:szCs w:val="20"/>
                <w:lang w:val="fr-FR"/>
              </w:rPr>
              <w:t>Paracé</w:t>
            </w:r>
            <w:r w:rsidRPr="004002FD">
              <w:rPr>
                <w:b/>
                <w:bCs/>
                <w:sz w:val="20"/>
                <w:szCs w:val="20"/>
                <w:lang w:val="fr-FR"/>
              </w:rPr>
              <w:t xml:space="preserve">tamol 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pStyle w:val="Retraitcorpsdetexte2"/>
              <w:tabs>
                <w:tab w:val="num" w:pos="1080"/>
              </w:tabs>
              <w:spacing w:after="0"/>
              <w:ind w:left="1080" w:hanging="360"/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–</w:t>
            </w:r>
            <w:r w:rsidRPr="004002FD">
              <w:rPr>
                <w:sz w:val="14"/>
                <w:szCs w:val="14"/>
                <w:lang w:val="fr-FR"/>
              </w:rPr>
              <w:t xml:space="preserve">          </w:t>
            </w:r>
            <w:r w:rsidRPr="004002FD">
              <w:rPr>
                <w:sz w:val="20"/>
                <w:szCs w:val="20"/>
                <w:lang w:val="fr-FR"/>
              </w:rPr>
              <w:t>(Grade A)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pStyle w:val="Retraitcorpsdetexte2"/>
              <w:spacing w:after="0"/>
              <w:ind w:left="720"/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C55EDD">
            <w:pPr>
              <w:pStyle w:val="Titre2"/>
              <w:spacing w:before="240" w:beforeAutospacing="0" w:after="60" w:afterAutospacing="0"/>
              <w:rPr>
                <w:lang w:val="fr-FR"/>
              </w:rPr>
            </w:pPr>
            <w:bookmarkStart w:id="9" w:name="_Toc158030691"/>
            <w:r w:rsidRPr="004002FD">
              <w:rPr>
                <w:rStyle w:val="Accentuation"/>
                <w:sz w:val="20"/>
                <w:szCs w:val="20"/>
                <w:lang w:val="fr-FR"/>
              </w:rPr>
              <w:t>Analgésie systémique</w:t>
            </w:r>
            <w:bookmarkEnd w:id="9"/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spacing w:afterAutospacing="1"/>
              <w:ind w:left="720"/>
              <w:rPr>
                <w:lang w:val="fr-FR"/>
              </w:rPr>
            </w:pPr>
          </w:p>
          <w:p w:rsidR="00836DB1" w:rsidRPr="004002FD" w:rsidRDefault="00C55EDD" w:rsidP="00836DB1">
            <w:pPr>
              <w:numPr>
                <w:ilvl w:val="0"/>
                <w:numId w:val="44"/>
              </w:numPr>
              <w:spacing w:after="0" w:line="240" w:lineRule="auto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>A</w:t>
            </w:r>
            <w:r w:rsidR="00836DB1" w:rsidRPr="004002FD">
              <w:rPr>
                <w:b/>
                <w:bCs/>
                <w:sz w:val="20"/>
                <w:szCs w:val="20"/>
                <w:lang w:val="fr-FR"/>
              </w:rPr>
              <w:t>ntagonist</w:t>
            </w:r>
            <w:r w:rsidRPr="004002FD">
              <w:rPr>
                <w:b/>
                <w:bCs/>
                <w:sz w:val="20"/>
                <w:szCs w:val="20"/>
                <w:lang w:val="fr-FR"/>
              </w:rPr>
              <w:t xml:space="preserve">es de NMDA 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tabs>
                <w:tab w:val="num" w:pos="1080"/>
              </w:tabs>
              <w:ind w:left="1080" w:hanging="360"/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–</w:t>
            </w:r>
            <w:r w:rsidRPr="004002FD">
              <w:rPr>
                <w:sz w:val="14"/>
                <w:szCs w:val="14"/>
                <w:lang w:val="fr-FR"/>
              </w:rPr>
              <w:t xml:space="preserve">          </w:t>
            </w:r>
            <w:r w:rsidRPr="004002FD">
              <w:rPr>
                <w:sz w:val="20"/>
                <w:szCs w:val="20"/>
                <w:lang w:val="fr-FR"/>
              </w:rPr>
              <w:t>k</w:t>
            </w:r>
            <w:r w:rsidR="00C55EDD" w:rsidRPr="004002FD">
              <w:rPr>
                <w:sz w:val="20"/>
                <w:szCs w:val="20"/>
                <w:lang w:val="fr-FR"/>
              </w:rPr>
              <w:t>é</w:t>
            </w:r>
            <w:r w:rsidRPr="004002FD">
              <w:rPr>
                <w:sz w:val="20"/>
                <w:szCs w:val="20"/>
                <w:lang w:val="fr-FR"/>
              </w:rPr>
              <w:t>tamine (Grade D)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tabs>
                <w:tab w:val="num" w:pos="1080"/>
              </w:tabs>
              <w:ind w:left="1080" w:hanging="360"/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–</w:t>
            </w:r>
            <w:r w:rsidRPr="004002FD">
              <w:rPr>
                <w:sz w:val="14"/>
                <w:szCs w:val="14"/>
                <w:lang w:val="fr-FR"/>
              </w:rPr>
              <w:t xml:space="preserve">          </w:t>
            </w:r>
            <w:r w:rsidRPr="004002FD">
              <w:rPr>
                <w:sz w:val="20"/>
                <w:szCs w:val="20"/>
                <w:lang w:val="fr-FR"/>
              </w:rPr>
              <w:t>magn</w:t>
            </w:r>
            <w:r w:rsidR="00C55EDD" w:rsidRPr="004002FD">
              <w:rPr>
                <w:sz w:val="20"/>
                <w:szCs w:val="20"/>
                <w:lang w:val="fr-FR"/>
              </w:rPr>
              <w:t>é</w:t>
            </w:r>
            <w:r w:rsidRPr="004002FD">
              <w:rPr>
                <w:sz w:val="20"/>
                <w:szCs w:val="20"/>
                <w:lang w:val="fr-FR"/>
              </w:rPr>
              <w:t>sium (Grade B)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spacing w:afterAutospacing="1"/>
              <w:ind w:left="720"/>
              <w:rPr>
                <w:lang w:val="fr-FR"/>
              </w:rPr>
            </w:pPr>
          </w:p>
          <w:p w:rsidR="00836DB1" w:rsidRPr="004002FD" w:rsidRDefault="00C55EDD" w:rsidP="00836DB1">
            <w:pPr>
              <w:numPr>
                <w:ilvl w:val="0"/>
                <w:numId w:val="45"/>
              </w:numPr>
              <w:spacing w:after="0" w:line="240" w:lineRule="auto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>Opioï</w:t>
            </w:r>
            <w:r w:rsidR="00836DB1" w:rsidRPr="004002FD">
              <w:rPr>
                <w:b/>
                <w:bCs/>
                <w:sz w:val="20"/>
                <w:szCs w:val="20"/>
                <w:lang w:val="fr-FR"/>
              </w:rPr>
              <w:t>d</w:t>
            </w:r>
            <w:r w:rsidRPr="004002FD">
              <w:rPr>
                <w:b/>
                <w:bCs/>
                <w:sz w:val="20"/>
                <w:szCs w:val="20"/>
                <w:lang w:val="fr-FR"/>
              </w:rPr>
              <w:t>e</w:t>
            </w:r>
            <w:r w:rsidR="00836DB1" w:rsidRPr="004002FD">
              <w:rPr>
                <w:b/>
                <w:bCs/>
                <w:sz w:val="20"/>
                <w:szCs w:val="20"/>
                <w:lang w:val="fr-FR"/>
              </w:rPr>
              <w:t>s</w:t>
            </w:r>
            <w:r w:rsidRPr="004002FD">
              <w:rPr>
                <w:b/>
                <w:bCs/>
                <w:sz w:val="20"/>
                <w:szCs w:val="20"/>
                <w:lang w:val="fr-FR"/>
              </w:rPr>
              <w:t xml:space="preserve"> forts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tabs>
                <w:tab w:val="num" w:pos="1080"/>
              </w:tabs>
              <w:ind w:left="1080" w:hanging="360"/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–</w:t>
            </w:r>
            <w:r w:rsidRPr="004002FD">
              <w:rPr>
                <w:sz w:val="14"/>
                <w:szCs w:val="14"/>
                <w:lang w:val="fr-FR"/>
              </w:rPr>
              <w:t xml:space="preserve">          </w:t>
            </w:r>
            <w:r w:rsidR="00C55EDD" w:rsidRPr="004002FD">
              <w:rPr>
                <w:sz w:val="20"/>
                <w:szCs w:val="20"/>
                <w:lang w:val="fr-FR"/>
              </w:rPr>
              <w:t>pour analgésie de</w:t>
            </w:r>
            <w:r w:rsidRPr="004002FD">
              <w:rPr>
                <w:sz w:val="20"/>
                <w:szCs w:val="20"/>
                <w:lang w:val="fr-FR"/>
              </w:rPr>
              <w:t xml:space="preserve"> routine (Grade B)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spacing w:afterAutospacing="1"/>
              <w:ind w:left="720"/>
              <w:rPr>
                <w:lang w:val="fr-FR"/>
              </w:rPr>
            </w:pPr>
          </w:p>
          <w:p w:rsidR="00C55EDD" w:rsidRPr="004002FD" w:rsidRDefault="00C55EDD" w:rsidP="00C55EDD">
            <w:pPr>
              <w:numPr>
                <w:ilvl w:val="0"/>
                <w:numId w:val="45"/>
              </w:numPr>
              <w:spacing w:after="0" w:line="240" w:lineRule="auto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>Opioïdes faibles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tabs>
                <w:tab w:val="num" w:pos="1080"/>
              </w:tabs>
              <w:ind w:left="1080" w:hanging="360"/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–</w:t>
            </w:r>
            <w:r w:rsidRPr="004002FD">
              <w:rPr>
                <w:sz w:val="14"/>
                <w:szCs w:val="14"/>
                <w:lang w:val="fr-FR"/>
              </w:rPr>
              <w:t xml:space="preserve">          </w:t>
            </w:r>
            <w:r w:rsidR="00C55EDD" w:rsidRPr="004002FD">
              <w:rPr>
                <w:bCs/>
                <w:sz w:val="20"/>
                <w:szCs w:val="20"/>
                <w:lang w:val="fr-FR"/>
              </w:rPr>
              <w:t>pour analgésie de</w:t>
            </w:r>
            <w:r w:rsidRPr="004002FD">
              <w:rPr>
                <w:bCs/>
                <w:sz w:val="20"/>
                <w:szCs w:val="20"/>
                <w:lang w:val="fr-FR"/>
              </w:rPr>
              <w:t xml:space="preserve"> routine </w:t>
            </w:r>
            <w:r w:rsidRPr="004002FD">
              <w:rPr>
                <w:sz w:val="20"/>
                <w:szCs w:val="20"/>
                <w:lang w:val="fr-FR"/>
              </w:rPr>
              <w:t>(Grade B)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ind w:left="1080"/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ind w:left="360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</w:tc>
      </w:tr>
      <w:tr w:rsidR="00836DB1" w:rsidRPr="004002FD" w:rsidTr="00836DB1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b/>
                <w:bCs/>
                <w:i/>
                <w:iCs/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b/>
                <w:bCs/>
                <w:i/>
                <w:iCs/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E4163A">
            <w:pPr>
              <w:rPr>
                <w:lang w:val="fr-FR"/>
              </w:rPr>
            </w:pPr>
            <w:r w:rsidRPr="004002FD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ANALGÉSIE RÉGIONALE 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b/>
                <w:bCs/>
                <w:i/>
                <w:iCs/>
                <w:sz w:val="20"/>
                <w:szCs w:val="20"/>
                <w:lang w:val="fr-FR"/>
              </w:rPr>
              <w:lastRenderedPageBreak/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spacing w:afterAutospacing="1"/>
              <w:ind w:left="720"/>
              <w:rPr>
                <w:lang w:val="fr-FR"/>
              </w:rPr>
            </w:pPr>
          </w:p>
          <w:p w:rsidR="00836DB1" w:rsidRPr="004002FD" w:rsidRDefault="00E700EC" w:rsidP="00836DB1">
            <w:pPr>
              <w:numPr>
                <w:ilvl w:val="0"/>
                <w:numId w:val="47"/>
              </w:numPr>
              <w:spacing w:after="0" w:line="240" w:lineRule="auto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 xml:space="preserve">AL </w:t>
            </w:r>
            <w:r w:rsidR="00836DB1" w:rsidRPr="004002FD">
              <w:rPr>
                <w:b/>
                <w:bCs/>
                <w:sz w:val="20"/>
                <w:szCs w:val="20"/>
                <w:lang w:val="fr-FR"/>
              </w:rPr>
              <w:t xml:space="preserve">IP </w:t>
            </w:r>
            <w:r w:rsidRPr="004002FD">
              <w:rPr>
                <w:b/>
                <w:bCs/>
                <w:sz w:val="20"/>
                <w:szCs w:val="20"/>
                <w:lang w:val="fr-FR"/>
              </w:rPr>
              <w:t>PCA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tabs>
                <w:tab w:val="num" w:pos="1080"/>
              </w:tabs>
              <w:ind w:left="1080" w:hanging="360"/>
              <w:rPr>
                <w:lang w:val="fr-FR"/>
              </w:rPr>
            </w:pPr>
            <w:r w:rsidRPr="004002FD">
              <w:rPr>
                <w:bCs/>
                <w:iCs/>
                <w:sz w:val="20"/>
                <w:szCs w:val="20"/>
                <w:lang w:val="fr-FR"/>
              </w:rPr>
              <w:t>–</w:t>
            </w:r>
            <w:r w:rsidRPr="004002FD">
              <w:rPr>
                <w:bCs/>
                <w:iCs/>
                <w:sz w:val="14"/>
                <w:szCs w:val="14"/>
                <w:lang w:val="fr-FR"/>
              </w:rPr>
              <w:t xml:space="preserve">          </w:t>
            </w:r>
            <w:r w:rsidRPr="004002FD">
              <w:rPr>
                <w:sz w:val="20"/>
                <w:szCs w:val="20"/>
                <w:lang w:val="fr-FR"/>
              </w:rPr>
              <w:t>(Grade D)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b/>
                <w:bCs/>
                <w:i/>
                <w:iCs/>
                <w:sz w:val="20"/>
                <w:szCs w:val="20"/>
                <w:lang w:val="fr-FR"/>
              </w:rPr>
              <w:t> </w:t>
            </w:r>
          </w:p>
        </w:tc>
      </w:tr>
      <w:tr w:rsidR="00836DB1" w:rsidRPr="00FD3025" w:rsidTr="00836DB1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E700EC">
            <w:pPr>
              <w:pStyle w:val="Titre2"/>
              <w:spacing w:before="240" w:beforeAutospacing="0" w:after="60" w:afterAutospacing="0"/>
              <w:rPr>
                <w:lang w:val="fr-FR"/>
              </w:rPr>
            </w:pPr>
            <w:bookmarkStart w:id="10" w:name="_Toc158030692"/>
            <w:r w:rsidRPr="004002FD">
              <w:rPr>
                <w:bCs w:val="0"/>
                <w:i/>
                <w:iCs/>
                <w:sz w:val="20"/>
                <w:szCs w:val="20"/>
                <w:lang w:val="fr-FR"/>
              </w:rPr>
              <w:t xml:space="preserve">ANALGÉSIE </w:t>
            </w:r>
            <w:r w:rsidR="008F7AE1">
              <w:rPr>
                <w:bCs w:val="0"/>
                <w:i/>
                <w:iCs/>
                <w:sz w:val="20"/>
                <w:szCs w:val="20"/>
                <w:lang w:val="fr-FR"/>
              </w:rPr>
              <w:t>PÉRIDURAL</w:t>
            </w:r>
            <w:bookmarkEnd w:id="10"/>
            <w:r w:rsidRPr="004002FD">
              <w:rPr>
                <w:rStyle w:val="Accentuation"/>
                <w:sz w:val="20"/>
                <w:szCs w:val="20"/>
                <w:lang w:val="fr-FR"/>
              </w:rPr>
              <w:t>E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spacing w:afterAutospacing="1"/>
              <w:ind w:left="720"/>
              <w:rPr>
                <w:lang w:val="fr-FR"/>
              </w:rPr>
            </w:pPr>
          </w:p>
          <w:p w:rsidR="00836DB1" w:rsidRPr="004002FD" w:rsidRDefault="00E700EC" w:rsidP="00836DB1">
            <w:pPr>
              <w:numPr>
                <w:ilvl w:val="0"/>
                <w:numId w:val="48"/>
              </w:numPr>
              <w:spacing w:after="0" w:line="240" w:lineRule="auto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 xml:space="preserve">Analgésie </w:t>
            </w:r>
            <w:r w:rsidR="008F7AE1">
              <w:rPr>
                <w:b/>
                <w:bCs/>
                <w:sz w:val="20"/>
                <w:szCs w:val="20"/>
                <w:lang w:val="fr-FR"/>
              </w:rPr>
              <w:t>péridural</w:t>
            </w:r>
            <w:r w:rsidRPr="004002FD">
              <w:rPr>
                <w:b/>
                <w:bCs/>
                <w:sz w:val="20"/>
                <w:szCs w:val="20"/>
                <w:lang w:val="fr-FR"/>
              </w:rPr>
              <w:t>e</w:t>
            </w:r>
            <w:r w:rsidR="00836DB1" w:rsidRPr="004002F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tabs>
                <w:tab w:val="num" w:pos="1080"/>
              </w:tabs>
              <w:ind w:left="1080" w:hanging="360"/>
              <w:rPr>
                <w:lang w:val="fr-FR"/>
              </w:rPr>
            </w:pPr>
            <w:r w:rsidRPr="004002FD">
              <w:rPr>
                <w:bCs/>
                <w:sz w:val="20"/>
                <w:szCs w:val="20"/>
                <w:lang w:val="fr-FR"/>
              </w:rPr>
              <w:t xml:space="preserve">–          </w:t>
            </w:r>
            <w:r w:rsidR="00BC002C" w:rsidRPr="004002FD">
              <w:rPr>
                <w:bCs/>
                <w:sz w:val="20"/>
                <w:szCs w:val="20"/>
                <w:lang w:val="fr-FR"/>
              </w:rPr>
              <w:t>chez les patients pulmonaires à haut risque</w:t>
            </w:r>
            <w:r w:rsidR="00BC002C" w:rsidRPr="004002F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 xml:space="preserve"> </w:t>
            </w:r>
            <w:r w:rsidRPr="004002FD">
              <w:rPr>
                <w:bCs/>
                <w:sz w:val="20"/>
                <w:szCs w:val="20"/>
                <w:lang w:val="fr-FR"/>
              </w:rPr>
              <w:t>(Grade D)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E700EC">
            <w:pPr>
              <w:pStyle w:val="Titre2"/>
              <w:spacing w:before="240" w:beforeAutospacing="0" w:after="60" w:afterAutospacing="0"/>
              <w:rPr>
                <w:lang w:val="fr-FR"/>
              </w:rPr>
            </w:pPr>
            <w:r w:rsidRPr="004002FD">
              <w:rPr>
                <w:bCs w:val="0"/>
                <w:i/>
                <w:iCs/>
                <w:sz w:val="20"/>
                <w:szCs w:val="20"/>
                <w:lang w:val="fr-FR"/>
              </w:rPr>
              <w:t xml:space="preserve">ANALGÉSIE </w:t>
            </w:r>
            <w:r w:rsidR="008F7AE1">
              <w:rPr>
                <w:bCs w:val="0"/>
                <w:i/>
                <w:iCs/>
                <w:sz w:val="20"/>
                <w:szCs w:val="20"/>
                <w:lang w:val="fr-FR"/>
              </w:rPr>
              <w:t>PÉRIDURAL</w:t>
            </w:r>
            <w:r w:rsidRPr="004002FD">
              <w:rPr>
                <w:rStyle w:val="Accentuation"/>
                <w:sz w:val="20"/>
                <w:szCs w:val="20"/>
                <w:lang w:val="fr-FR"/>
              </w:rPr>
              <w:t>E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spacing w:afterAutospacing="1"/>
              <w:ind w:left="720"/>
              <w:rPr>
                <w:lang w:val="fr-FR"/>
              </w:rPr>
            </w:pPr>
          </w:p>
          <w:p w:rsidR="00836DB1" w:rsidRPr="004002FD" w:rsidRDefault="00E700EC" w:rsidP="00836DB1">
            <w:pPr>
              <w:numPr>
                <w:ilvl w:val="0"/>
                <w:numId w:val="49"/>
              </w:numPr>
              <w:spacing w:after="0" w:line="240" w:lineRule="auto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 xml:space="preserve">Opioïde </w:t>
            </w:r>
            <w:r w:rsidR="004D29B4" w:rsidRPr="004002FD">
              <w:rPr>
                <w:b/>
                <w:bCs/>
                <w:sz w:val="20"/>
                <w:szCs w:val="20"/>
                <w:lang w:val="fr-FR"/>
              </w:rPr>
              <w:t xml:space="preserve">fort </w:t>
            </w:r>
            <w:r w:rsidR="008F7AE1">
              <w:rPr>
                <w:b/>
                <w:bCs/>
                <w:sz w:val="20"/>
                <w:szCs w:val="20"/>
                <w:lang w:val="fr-FR"/>
              </w:rPr>
              <w:t>péridural</w:t>
            </w:r>
            <w:r w:rsidRPr="004002F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836DB1" w:rsidRPr="004002FD">
              <w:rPr>
                <w:b/>
                <w:bCs/>
                <w:sz w:val="20"/>
                <w:szCs w:val="20"/>
                <w:lang w:val="fr-FR"/>
              </w:rPr>
              <w:t xml:space="preserve">+ </w:t>
            </w:r>
            <w:r w:rsidRPr="004002FD">
              <w:rPr>
                <w:b/>
                <w:bCs/>
                <w:sz w:val="20"/>
                <w:szCs w:val="20"/>
                <w:lang w:val="fr-FR"/>
              </w:rPr>
              <w:t>AL</w:t>
            </w:r>
            <w:r w:rsidR="00836DB1" w:rsidRPr="004002F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tabs>
                <w:tab w:val="num" w:pos="1080"/>
              </w:tabs>
              <w:ind w:left="1080" w:hanging="360"/>
              <w:rPr>
                <w:lang w:val="fr-FR"/>
              </w:rPr>
            </w:pPr>
            <w:r w:rsidRPr="004002FD">
              <w:rPr>
                <w:bCs/>
                <w:sz w:val="20"/>
                <w:szCs w:val="20"/>
                <w:lang w:val="fr-FR"/>
              </w:rPr>
              <w:t>–</w:t>
            </w:r>
            <w:r w:rsidRPr="004002FD">
              <w:rPr>
                <w:bCs/>
                <w:sz w:val="14"/>
                <w:szCs w:val="14"/>
                <w:lang w:val="fr-FR"/>
              </w:rPr>
              <w:t xml:space="preserve">          </w:t>
            </w:r>
            <w:r w:rsidR="00E700EC" w:rsidRPr="004002FD">
              <w:rPr>
                <w:bCs/>
                <w:sz w:val="20"/>
                <w:szCs w:val="20"/>
                <w:lang w:val="fr-FR"/>
              </w:rPr>
              <w:t>pour une analgésie de</w:t>
            </w:r>
            <w:r w:rsidRPr="004002FD">
              <w:rPr>
                <w:bCs/>
                <w:sz w:val="20"/>
                <w:szCs w:val="20"/>
                <w:lang w:val="fr-FR"/>
              </w:rPr>
              <w:t xml:space="preserve"> routine (Grade D)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</w:tc>
      </w:tr>
      <w:tr w:rsidR="00836DB1" w:rsidRPr="004002FD" w:rsidTr="00836DB1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437542">
            <w:pPr>
              <w:pStyle w:val="Titre2"/>
              <w:spacing w:before="240" w:beforeAutospacing="0" w:after="60" w:afterAutospacing="0"/>
              <w:rPr>
                <w:lang w:val="fr-FR"/>
              </w:rPr>
            </w:pPr>
            <w:r w:rsidRPr="004002FD">
              <w:rPr>
                <w:rStyle w:val="Accentuation"/>
                <w:sz w:val="20"/>
                <w:szCs w:val="20"/>
                <w:lang w:val="fr-FR"/>
              </w:rPr>
              <w:t xml:space="preserve">GESTION DES </w:t>
            </w:r>
            <w:r w:rsidR="00836DB1" w:rsidRPr="004002FD">
              <w:rPr>
                <w:rStyle w:val="Accentuation"/>
                <w:sz w:val="20"/>
                <w:szCs w:val="20"/>
                <w:lang w:val="fr-FR"/>
              </w:rPr>
              <w:t>PATIENT</w:t>
            </w:r>
            <w:r w:rsidRPr="004002FD">
              <w:rPr>
                <w:rStyle w:val="Accentuation"/>
                <w:sz w:val="20"/>
                <w:szCs w:val="20"/>
                <w:lang w:val="fr-FR"/>
              </w:rPr>
              <w:t>S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rPr>
                <w:lang w:val="fr-FR"/>
              </w:rPr>
            </w:pPr>
            <w:r w:rsidRPr="004002FD">
              <w:rPr>
                <w:sz w:val="20"/>
                <w:szCs w:val="20"/>
                <w:lang w:val="fr-FR"/>
              </w:rPr>
              <w:t> 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spacing w:afterAutospacing="1"/>
              <w:ind w:left="720"/>
              <w:rPr>
                <w:lang w:val="fr-FR"/>
              </w:rPr>
            </w:pPr>
          </w:p>
          <w:p w:rsidR="00836DB1" w:rsidRPr="004002FD" w:rsidRDefault="00EB7EF9" w:rsidP="00836DB1">
            <w:pPr>
              <w:numPr>
                <w:ilvl w:val="0"/>
                <w:numId w:val="50"/>
              </w:numPr>
              <w:spacing w:after="0" w:line="240" w:lineRule="auto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lastRenderedPageBreak/>
              <w:t>Sortie précoce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tabs>
                <w:tab w:val="num" w:pos="1080"/>
              </w:tabs>
              <w:ind w:left="1080" w:hanging="360"/>
              <w:rPr>
                <w:lang w:val="fr-FR"/>
              </w:rPr>
            </w:pPr>
            <w:r w:rsidRPr="004002FD">
              <w:rPr>
                <w:bCs/>
                <w:sz w:val="20"/>
                <w:szCs w:val="20"/>
                <w:lang w:val="fr-FR"/>
              </w:rPr>
              <w:t>–</w:t>
            </w:r>
            <w:r w:rsidRPr="004002FD">
              <w:rPr>
                <w:bCs/>
                <w:sz w:val="14"/>
                <w:szCs w:val="14"/>
                <w:lang w:val="fr-FR"/>
              </w:rPr>
              <w:t xml:space="preserve">          </w:t>
            </w:r>
            <w:r w:rsidRPr="004002FD">
              <w:rPr>
                <w:sz w:val="20"/>
                <w:szCs w:val="20"/>
                <w:lang w:val="fr-FR"/>
              </w:rPr>
              <w:t>(Grade D)</w:t>
            </w:r>
          </w:p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  <w:p w:rsidR="00836DB1" w:rsidRPr="004002FD" w:rsidRDefault="00836DB1">
            <w:pPr>
              <w:ind w:left="720"/>
              <w:rPr>
                <w:lang w:val="fr-FR"/>
              </w:rPr>
            </w:pPr>
            <w:r w:rsidRPr="004002FD">
              <w:rPr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4002FD" w:rsidRDefault="00836DB1">
            <w:pPr>
              <w:spacing w:beforeAutospacing="1" w:afterAutospacing="1"/>
              <w:rPr>
                <w:lang w:val="fr-FR"/>
              </w:rPr>
            </w:pPr>
          </w:p>
        </w:tc>
      </w:tr>
    </w:tbl>
    <w:p w:rsidR="00836DB1" w:rsidRPr="004002FD" w:rsidRDefault="00836DB1">
      <w:pPr>
        <w:rPr>
          <w:lang w:val="fr-FR"/>
        </w:rPr>
      </w:pPr>
    </w:p>
    <w:sectPr w:rsidR="00836DB1" w:rsidRPr="004002FD" w:rsidSect="00C2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972"/>
    <w:multiLevelType w:val="multilevel"/>
    <w:tmpl w:val="4EA0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E3C49"/>
    <w:multiLevelType w:val="multilevel"/>
    <w:tmpl w:val="04B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A6421"/>
    <w:multiLevelType w:val="multilevel"/>
    <w:tmpl w:val="201A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4F233C"/>
    <w:multiLevelType w:val="multilevel"/>
    <w:tmpl w:val="CD7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503546"/>
    <w:multiLevelType w:val="multilevel"/>
    <w:tmpl w:val="F0D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750C53"/>
    <w:multiLevelType w:val="multilevel"/>
    <w:tmpl w:val="E39A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D200B7"/>
    <w:multiLevelType w:val="multilevel"/>
    <w:tmpl w:val="5944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F23939"/>
    <w:multiLevelType w:val="multilevel"/>
    <w:tmpl w:val="D8C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595760"/>
    <w:multiLevelType w:val="multilevel"/>
    <w:tmpl w:val="A316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630289"/>
    <w:multiLevelType w:val="multilevel"/>
    <w:tmpl w:val="CF76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CA25E2"/>
    <w:multiLevelType w:val="multilevel"/>
    <w:tmpl w:val="1846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C6268D"/>
    <w:multiLevelType w:val="multilevel"/>
    <w:tmpl w:val="6196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D631E3"/>
    <w:multiLevelType w:val="multilevel"/>
    <w:tmpl w:val="3D18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20061A"/>
    <w:multiLevelType w:val="multilevel"/>
    <w:tmpl w:val="639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F67D71"/>
    <w:multiLevelType w:val="multilevel"/>
    <w:tmpl w:val="590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DA32EA"/>
    <w:multiLevelType w:val="multilevel"/>
    <w:tmpl w:val="DEF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4A0280"/>
    <w:multiLevelType w:val="multilevel"/>
    <w:tmpl w:val="516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0A77BE"/>
    <w:multiLevelType w:val="multilevel"/>
    <w:tmpl w:val="2D48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CD2096"/>
    <w:multiLevelType w:val="multilevel"/>
    <w:tmpl w:val="8AEE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747BBF"/>
    <w:multiLevelType w:val="multilevel"/>
    <w:tmpl w:val="2758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7848AA"/>
    <w:multiLevelType w:val="multilevel"/>
    <w:tmpl w:val="C4C6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99397E"/>
    <w:multiLevelType w:val="multilevel"/>
    <w:tmpl w:val="9CA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E34BF4"/>
    <w:multiLevelType w:val="multilevel"/>
    <w:tmpl w:val="2114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FF76C2"/>
    <w:multiLevelType w:val="multilevel"/>
    <w:tmpl w:val="6DC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C94CE7"/>
    <w:multiLevelType w:val="multilevel"/>
    <w:tmpl w:val="055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5F6588"/>
    <w:multiLevelType w:val="multilevel"/>
    <w:tmpl w:val="9CA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1B429D"/>
    <w:multiLevelType w:val="multilevel"/>
    <w:tmpl w:val="6E9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1410FC"/>
    <w:multiLevelType w:val="multilevel"/>
    <w:tmpl w:val="9014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7A4C36"/>
    <w:multiLevelType w:val="multilevel"/>
    <w:tmpl w:val="F98A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483556"/>
    <w:multiLevelType w:val="multilevel"/>
    <w:tmpl w:val="DF6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CD24ED"/>
    <w:multiLevelType w:val="multilevel"/>
    <w:tmpl w:val="B850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F74B8F"/>
    <w:multiLevelType w:val="multilevel"/>
    <w:tmpl w:val="CCE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FA1C48"/>
    <w:multiLevelType w:val="multilevel"/>
    <w:tmpl w:val="573E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D428FA"/>
    <w:multiLevelType w:val="multilevel"/>
    <w:tmpl w:val="5DA0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A870A7"/>
    <w:multiLevelType w:val="multilevel"/>
    <w:tmpl w:val="100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FF1350"/>
    <w:multiLevelType w:val="multilevel"/>
    <w:tmpl w:val="340C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19373F"/>
    <w:multiLevelType w:val="multilevel"/>
    <w:tmpl w:val="5CA6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81390C"/>
    <w:multiLevelType w:val="multilevel"/>
    <w:tmpl w:val="8D0A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AD6B48"/>
    <w:multiLevelType w:val="multilevel"/>
    <w:tmpl w:val="E5A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C51824"/>
    <w:multiLevelType w:val="multilevel"/>
    <w:tmpl w:val="9E36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354B1E"/>
    <w:multiLevelType w:val="multilevel"/>
    <w:tmpl w:val="10E0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B512AA"/>
    <w:multiLevelType w:val="multilevel"/>
    <w:tmpl w:val="6C4C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D85315"/>
    <w:multiLevelType w:val="multilevel"/>
    <w:tmpl w:val="322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FE61B3"/>
    <w:multiLevelType w:val="multilevel"/>
    <w:tmpl w:val="A280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25A35E5"/>
    <w:multiLevelType w:val="multilevel"/>
    <w:tmpl w:val="B93E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A554DA"/>
    <w:multiLevelType w:val="multilevel"/>
    <w:tmpl w:val="0C8C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3D86ABE"/>
    <w:multiLevelType w:val="multilevel"/>
    <w:tmpl w:val="776E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0205E6"/>
    <w:multiLevelType w:val="multilevel"/>
    <w:tmpl w:val="D046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77D4AB1"/>
    <w:multiLevelType w:val="multilevel"/>
    <w:tmpl w:val="6798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BD63DB"/>
    <w:multiLevelType w:val="multilevel"/>
    <w:tmpl w:val="3852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33"/>
  </w:num>
  <w:num w:numId="3">
    <w:abstractNumId w:val="44"/>
  </w:num>
  <w:num w:numId="4">
    <w:abstractNumId w:val="42"/>
  </w:num>
  <w:num w:numId="5">
    <w:abstractNumId w:val="40"/>
  </w:num>
  <w:num w:numId="6">
    <w:abstractNumId w:val="5"/>
  </w:num>
  <w:num w:numId="7">
    <w:abstractNumId w:val="30"/>
  </w:num>
  <w:num w:numId="8">
    <w:abstractNumId w:val="46"/>
  </w:num>
  <w:num w:numId="9">
    <w:abstractNumId w:val="9"/>
  </w:num>
  <w:num w:numId="10">
    <w:abstractNumId w:val="18"/>
  </w:num>
  <w:num w:numId="11">
    <w:abstractNumId w:val="35"/>
  </w:num>
  <w:num w:numId="12">
    <w:abstractNumId w:val="21"/>
  </w:num>
  <w:num w:numId="13">
    <w:abstractNumId w:val="10"/>
  </w:num>
  <w:num w:numId="14">
    <w:abstractNumId w:val="24"/>
  </w:num>
  <w:num w:numId="15">
    <w:abstractNumId w:val="26"/>
  </w:num>
  <w:num w:numId="16">
    <w:abstractNumId w:val="1"/>
  </w:num>
  <w:num w:numId="17">
    <w:abstractNumId w:val="12"/>
  </w:num>
  <w:num w:numId="18">
    <w:abstractNumId w:val="2"/>
  </w:num>
  <w:num w:numId="19">
    <w:abstractNumId w:val="49"/>
  </w:num>
  <w:num w:numId="20">
    <w:abstractNumId w:val="31"/>
  </w:num>
  <w:num w:numId="21">
    <w:abstractNumId w:val="39"/>
  </w:num>
  <w:num w:numId="22">
    <w:abstractNumId w:val="7"/>
  </w:num>
  <w:num w:numId="23">
    <w:abstractNumId w:val="37"/>
  </w:num>
  <w:num w:numId="24">
    <w:abstractNumId w:val="38"/>
  </w:num>
  <w:num w:numId="25">
    <w:abstractNumId w:val="27"/>
  </w:num>
  <w:num w:numId="26">
    <w:abstractNumId w:val="19"/>
  </w:num>
  <w:num w:numId="27">
    <w:abstractNumId w:val="48"/>
  </w:num>
  <w:num w:numId="28">
    <w:abstractNumId w:val="23"/>
  </w:num>
  <w:num w:numId="29">
    <w:abstractNumId w:val="45"/>
  </w:num>
  <w:num w:numId="30">
    <w:abstractNumId w:val="32"/>
  </w:num>
  <w:num w:numId="31">
    <w:abstractNumId w:val="4"/>
  </w:num>
  <w:num w:numId="32">
    <w:abstractNumId w:val="8"/>
  </w:num>
  <w:num w:numId="33">
    <w:abstractNumId w:val="47"/>
  </w:num>
  <w:num w:numId="34">
    <w:abstractNumId w:val="16"/>
  </w:num>
  <w:num w:numId="35">
    <w:abstractNumId w:val="43"/>
  </w:num>
  <w:num w:numId="36">
    <w:abstractNumId w:val="36"/>
  </w:num>
  <w:num w:numId="37">
    <w:abstractNumId w:val="41"/>
  </w:num>
  <w:num w:numId="38">
    <w:abstractNumId w:val="14"/>
  </w:num>
  <w:num w:numId="39">
    <w:abstractNumId w:val="25"/>
  </w:num>
  <w:num w:numId="40">
    <w:abstractNumId w:val="28"/>
  </w:num>
  <w:num w:numId="41">
    <w:abstractNumId w:val="0"/>
  </w:num>
  <w:num w:numId="42">
    <w:abstractNumId w:val="17"/>
  </w:num>
  <w:num w:numId="43">
    <w:abstractNumId w:val="22"/>
  </w:num>
  <w:num w:numId="44">
    <w:abstractNumId w:val="15"/>
  </w:num>
  <w:num w:numId="45">
    <w:abstractNumId w:val="11"/>
  </w:num>
  <w:num w:numId="46">
    <w:abstractNumId w:val="13"/>
  </w:num>
  <w:num w:numId="47">
    <w:abstractNumId w:val="3"/>
  </w:num>
  <w:num w:numId="48">
    <w:abstractNumId w:val="6"/>
  </w:num>
  <w:num w:numId="49">
    <w:abstractNumId w:val="2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548"/>
    <w:rsid w:val="000649CE"/>
    <w:rsid w:val="0007236A"/>
    <w:rsid w:val="000C7E7B"/>
    <w:rsid w:val="00165EAC"/>
    <w:rsid w:val="001865B1"/>
    <w:rsid w:val="001F5B89"/>
    <w:rsid w:val="002A6B8B"/>
    <w:rsid w:val="003A29D0"/>
    <w:rsid w:val="003E7920"/>
    <w:rsid w:val="004002FD"/>
    <w:rsid w:val="004048ED"/>
    <w:rsid w:val="00437542"/>
    <w:rsid w:val="004D29B4"/>
    <w:rsid w:val="004F375A"/>
    <w:rsid w:val="0050295C"/>
    <w:rsid w:val="00705CC3"/>
    <w:rsid w:val="00746579"/>
    <w:rsid w:val="00795D7C"/>
    <w:rsid w:val="007E5FA4"/>
    <w:rsid w:val="00836DB1"/>
    <w:rsid w:val="008C0C2F"/>
    <w:rsid w:val="008F7AE1"/>
    <w:rsid w:val="00940AFC"/>
    <w:rsid w:val="009E644C"/>
    <w:rsid w:val="00A15DA8"/>
    <w:rsid w:val="00A30403"/>
    <w:rsid w:val="00B1389E"/>
    <w:rsid w:val="00BC002C"/>
    <w:rsid w:val="00BF4F5C"/>
    <w:rsid w:val="00C070B9"/>
    <w:rsid w:val="00C15548"/>
    <w:rsid w:val="00C20AB9"/>
    <w:rsid w:val="00C55EDD"/>
    <w:rsid w:val="00D27244"/>
    <w:rsid w:val="00E4163A"/>
    <w:rsid w:val="00E700EC"/>
    <w:rsid w:val="00EB7EF9"/>
    <w:rsid w:val="00ED66BC"/>
    <w:rsid w:val="00F85BCA"/>
    <w:rsid w:val="00FD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46156-7AFE-4D56-916F-B761B1F8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B9"/>
  </w:style>
  <w:style w:type="paragraph" w:styleId="Titre1">
    <w:name w:val="heading 1"/>
    <w:basedOn w:val="Normal"/>
    <w:link w:val="Titre1Car"/>
    <w:uiPriority w:val="9"/>
    <w:qFormat/>
    <w:rsid w:val="00C15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re2">
    <w:name w:val="heading 2"/>
    <w:basedOn w:val="Normal"/>
    <w:link w:val="Titre2Car"/>
    <w:uiPriority w:val="9"/>
    <w:qFormat/>
    <w:rsid w:val="00C15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554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C1554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1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C15548"/>
    <w:rPr>
      <w:b/>
      <w:bCs/>
    </w:rPr>
  </w:style>
  <w:style w:type="character" w:styleId="Accentuation">
    <w:name w:val="Emphasis"/>
    <w:basedOn w:val="Policepardfaut"/>
    <w:uiPriority w:val="20"/>
    <w:qFormat/>
    <w:rsid w:val="00C15548"/>
    <w:rPr>
      <w:i/>
      <w:i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1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1554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36DB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3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12</Pages>
  <Words>702</Words>
  <Characters>4503</Characters>
  <Application>Microsoft Office Word</Application>
  <DocSecurity>0</DocSecurity>
  <Lines>750</Lines>
  <Paragraphs>200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Crossword</cp:lastModifiedBy>
  <cp:revision>16</cp:revision>
  <dcterms:created xsi:type="dcterms:W3CDTF">2018-11-11T08:38:00Z</dcterms:created>
  <dcterms:modified xsi:type="dcterms:W3CDTF">2018-11-14T18:05:00Z</dcterms:modified>
</cp:coreProperties>
</file>