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9F" w:rsidRPr="00F33074" w:rsidRDefault="0033229F" w:rsidP="00FB1CC0">
      <w:pPr>
        <w:spacing w:line="240" w:lineRule="auto"/>
        <w:rPr>
          <w:lang w:val="fr-FR"/>
        </w:rPr>
      </w:pPr>
      <w:bookmarkStart w:id="0" w:name="_GoBack"/>
      <w:bookmarkEnd w:id="0"/>
      <w:r w:rsidRPr="00F33074">
        <w:rPr>
          <w:lang w:val="fr-FR"/>
        </w:rPr>
        <w:t>Résumé des r</w:t>
      </w:r>
      <w:r w:rsidR="00FB1CC0" w:rsidRPr="00F33074">
        <w:rPr>
          <w:lang w:val="fr-FR"/>
        </w:rPr>
        <w:t>ecomm</w:t>
      </w:r>
      <w:r w:rsidRPr="00F33074">
        <w:rPr>
          <w:lang w:val="fr-FR"/>
        </w:rPr>
        <w:t>a</w:t>
      </w:r>
      <w:r w:rsidR="00FB1CC0" w:rsidRPr="00F33074">
        <w:rPr>
          <w:lang w:val="fr-FR"/>
        </w:rPr>
        <w:t>ndations</w:t>
      </w:r>
    </w:p>
    <w:p w:rsidR="00FB1CC0" w:rsidRPr="00F33074" w:rsidRDefault="00DA3128" w:rsidP="00FB1CC0">
      <w:pPr>
        <w:spacing w:line="240" w:lineRule="auto"/>
        <w:rPr>
          <w:lang w:val="fr-FR"/>
        </w:rPr>
      </w:pPr>
      <w:r w:rsidRPr="00F33074">
        <w:rPr>
          <w:lang w:val="fr-FR"/>
        </w:rPr>
        <w:t>Les recommandations du Groupe de travail Prospect sont classifiées de A à D, selon le niveau de preuve des études, conformément à l’Oxford Centre for Evidence-Based</w:t>
      </w:r>
      <w:r w:rsidR="006C26F8" w:rsidRPr="00F33074">
        <w:rPr>
          <w:lang w:val="fr-FR"/>
        </w:rPr>
        <w:t xml:space="preserve"> </w:t>
      </w:r>
      <w:r w:rsidRPr="00F33074">
        <w:rPr>
          <w:lang w:val="fr-FR"/>
        </w:rPr>
        <w:t>Medicine</w:t>
      </w:r>
      <w:r w:rsidR="006C26F8" w:rsidRPr="00F33074">
        <w:rPr>
          <w:lang w:val="fr-FR"/>
        </w:rPr>
        <w:t xml:space="preserve"> </w:t>
      </w:r>
      <w:r w:rsidR="00FB1CC0" w:rsidRPr="00F33074">
        <w:rPr>
          <w:lang w:val="fr-FR"/>
        </w:rPr>
        <w:t>(</w:t>
      </w:r>
      <w:hyperlink r:id="rId5" w:history="1">
        <w:r w:rsidR="006C26F8" w:rsidRPr="00F33074">
          <w:rPr>
            <w:rStyle w:val="Lienhypertexte"/>
            <w:lang w:val="fr-FR"/>
          </w:rPr>
          <w:t xml:space="preserve">site web du CEBM, accès en décembre </w:t>
        </w:r>
        <w:r w:rsidR="00FB1CC0" w:rsidRPr="00F33074">
          <w:rPr>
            <w:rStyle w:val="Lienhypertexte"/>
            <w:lang w:val="fr-FR"/>
          </w:rPr>
          <w:t>2003, Sackett 2000</w:t>
        </w:r>
      </w:hyperlink>
      <w:r w:rsidR="00FB1CC0" w:rsidRPr="00F33074">
        <w:rPr>
          <w:lang w:val="fr-FR"/>
        </w:rPr>
        <w:t xml:space="preserve">). </w:t>
      </w:r>
      <w:r w:rsidRPr="00F33074">
        <w:rPr>
          <w:lang w:val="fr-FR"/>
        </w:rPr>
        <w:t xml:space="preserve">Dans le contexte de PROSPECT, les recommandations basées sur des preuves </w:t>
      </w:r>
      <w:r w:rsidR="00F10D3E">
        <w:rPr>
          <w:lang w:val="fr-FR"/>
        </w:rPr>
        <w:t xml:space="preserve">propres </w:t>
      </w:r>
      <w:r w:rsidRPr="00F33074">
        <w:rPr>
          <w:lang w:val="fr-FR"/>
        </w:rPr>
        <w:t>à la procédure sont de grade A (essais cliniques randomisés), ce</w:t>
      </w:r>
      <w:r w:rsidR="006C26F8" w:rsidRPr="00F33074">
        <w:rPr>
          <w:lang w:val="fr-FR"/>
        </w:rPr>
        <w:t xml:space="preserve">lles </w:t>
      </w:r>
      <w:r w:rsidRPr="00F33074">
        <w:rPr>
          <w:lang w:val="fr-FR"/>
        </w:rPr>
        <w:t>basé</w:t>
      </w:r>
      <w:r w:rsidR="006C26F8" w:rsidRPr="00F33074">
        <w:rPr>
          <w:lang w:val="fr-FR"/>
        </w:rPr>
        <w:t>e</w:t>
      </w:r>
      <w:r w:rsidRPr="00F33074">
        <w:rPr>
          <w:lang w:val="fr-FR"/>
        </w:rPr>
        <w:t xml:space="preserve">s </w:t>
      </w:r>
      <w:r w:rsidR="006C26F8" w:rsidRPr="00F33074">
        <w:rPr>
          <w:lang w:val="fr-FR"/>
        </w:rPr>
        <w:t xml:space="preserve">sur </w:t>
      </w:r>
      <w:r w:rsidRPr="00F33074">
        <w:rPr>
          <w:lang w:val="fr-FR"/>
        </w:rPr>
        <w:t xml:space="preserve">des preuves transférables </w:t>
      </w:r>
      <w:r w:rsidR="006C26F8" w:rsidRPr="00F33074">
        <w:rPr>
          <w:lang w:val="fr-FR"/>
        </w:rPr>
        <w:t xml:space="preserve">sont de grade B (essais cliniques randomisés) </w:t>
      </w:r>
      <w:r w:rsidRPr="00F33074">
        <w:rPr>
          <w:lang w:val="fr-FR"/>
        </w:rPr>
        <w:t xml:space="preserve">ou </w:t>
      </w:r>
      <w:r w:rsidR="006C26F8" w:rsidRPr="00F33074">
        <w:rPr>
          <w:lang w:val="fr-FR"/>
        </w:rPr>
        <w:t>de grade C (études rétrospectives ou séries de cas) et celles basées sur des</w:t>
      </w:r>
      <w:r w:rsidRPr="00F33074">
        <w:rPr>
          <w:lang w:val="fr-FR"/>
        </w:rPr>
        <w:t xml:space="preserve"> pratiques cliniques </w:t>
      </w:r>
      <w:r w:rsidR="006C26F8" w:rsidRPr="00F33074">
        <w:rPr>
          <w:lang w:val="fr-FR"/>
        </w:rPr>
        <w:t xml:space="preserve">sont de grade D. </w:t>
      </w:r>
      <w:r w:rsidR="00FB1CC0" w:rsidRPr="00F33074">
        <w:rPr>
          <w:lang w:val="fr-FR"/>
        </w:rPr>
        <w:t>(</w:t>
      </w:r>
      <w:hyperlink r:id="rId6" w:history="1">
        <w:r w:rsidR="006C26F8" w:rsidRPr="00F33074">
          <w:rPr>
            <w:rStyle w:val="Lienhypertexte"/>
            <w:lang w:val="fr-FR"/>
          </w:rPr>
          <w:t>Cliquez</w:t>
        </w:r>
        <w:r w:rsidR="00FB1CC0" w:rsidRPr="00F33074">
          <w:rPr>
            <w:rStyle w:val="Lienhypertexte"/>
            <w:lang w:val="fr-FR"/>
          </w:rPr>
          <w:t xml:space="preserve"> </w:t>
        </w:r>
        <w:r w:rsidR="006C26F8" w:rsidRPr="00F33074">
          <w:rPr>
            <w:rStyle w:val="Lienhypertexte"/>
            <w:lang w:val="fr-FR"/>
          </w:rPr>
          <w:t xml:space="preserve">ici pour des </w:t>
        </w:r>
        <w:r w:rsidR="00FB1CC0" w:rsidRPr="00F33074">
          <w:rPr>
            <w:rStyle w:val="Lienhypertexte"/>
            <w:lang w:val="fr-FR"/>
          </w:rPr>
          <w:t>information</w:t>
        </w:r>
        <w:r w:rsidR="00F10D3E">
          <w:rPr>
            <w:rStyle w:val="Lienhypertexte"/>
            <w:lang w:val="fr-FR"/>
          </w:rPr>
          <w:t>s</w:t>
        </w:r>
        <w:r w:rsidR="00FB1CC0" w:rsidRPr="00F33074">
          <w:rPr>
            <w:rStyle w:val="Lienhypertexte"/>
            <w:lang w:val="fr-FR"/>
          </w:rPr>
          <w:t xml:space="preserve"> </w:t>
        </w:r>
        <w:r w:rsidR="006C26F8" w:rsidRPr="00F33074">
          <w:rPr>
            <w:rStyle w:val="Lienhypertexte"/>
            <w:lang w:val="fr-FR"/>
          </w:rPr>
          <w:t>complémentaires sur les niveaux de preuve et les g</w:t>
        </w:r>
        <w:r w:rsidR="00FB1CC0" w:rsidRPr="00F33074">
          <w:rPr>
            <w:rStyle w:val="Lienhypertexte"/>
            <w:lang w:val="fr-FR"/>
          </w:rPr>
          <w:t xml:space="preserve">rades </w:t>
        </w:r>
        <w:r w:rsidR="006C26F8" w:rsidRPr="00F33074">
          <w:rPr>
            <w:rStyle w:val="Lienhypertexte"/>
            <w:lang w:val="fr-FR"/>
          </w:rPr>
          <w:t>des</w:t>
        </w:r>
        <w:r w:rsidR="00FB1CC0" w:rsidRPr="00F33074">
          <w:rPr>
            <w:rStyle w:val="Lienhypertexte"/>
            <w:lang w:val="fr-FR"/>
          </w:rPr>
          <w:t xml:space="preserve"> recomm</w:t>
        </w:r>
        <w:r w:rsidR="006C26F8" w:rsidRPr="00F33074">
          <w:rPr>
            <w:rStyle w:val="Lienhypertexte"/>
            <w:lang w:val="fr-FR"/>
          </w:rPr>
          <w:t>a</w:t>
        </w:r>
        <w:r w:rsidR="00FB1CC0" w:rsidRPr="00F33074">
          <w:rPr>
            <w:rStyle w:val="Lienhypertexte"/>
            <w:lang w:val="fr-FR"/>
          </w:rPr>
          <w:t>ndation</w:t>
        </w:r>
      </w:hyperlink>
      <w:r w:rsidR="006C26F8" w:rsidRPr="00F33074">
        <w:rPr>
          <w:rStyle w:val="Lienhypertexte"/>
          <w:lang w:val="fr-FR"/>
        </w:rPr>
        <w:t>s</w:t>
      </w:r>
      <w:r w:rsidR="006C26F8" w:rsidRPr="00F33074">
        <w:rPr>
          <w:lang w:val="fr-FR"/>
        </w:rPr>
        <w:t xml:space="preserve">). </w:t>
      </w:r>
      <w:r w:rsidR="008D0434" w:rsidRPr="00F33074">
        <w:rPr>
          <w:lang w:val="fr-FR"/>
        </w:rPr>
        <w:t>PROSPECT fournit aux médecins un argumentaire en faveur et contre les différentes interventions en matière de douleur postopératoire, en se basant sur des preuves publiées et des opinions d’experts</w:t>
      </w:r>
      <w:r w:rsidR="00FB1CC0" w:rsidRPr="00F33074">
        <w:rPr>
          <w:lang w:val="fr-FR"/>
        </w:rPr>
        <w:t xml:space="preserve">. </w:t>
      </w:r>
      <w:r w:rsidR="008D0434" w:rsidRPr="00F33074">
        <w:rPr>
          <w:lang w:val="fr-FR"/>
        </w:rPr>
        <w:t xml:space="preserve">Les médecins doivent porter des jugements fondés sur les circonstances cliniques et les réglementations locales. À tout moment, il convient de consulter les informations posologiques locales </w:t>
      </w:r>
      <w:r w:rsidR="00F10D3E">
        <w:rPr>
          <w:lang w:val="fr-FR"/>
        </w:rPr>
        <w:t>concernant</w:t>
      </w:r>
      <w:r w:rsidR="008D0434" w:rsidRPr="00F33074">
        <w:rPr>
          <w:lang w:val="fr-FR"/>
        </w:rPr>
        <w:t xml:space="preserve"> les médicaments mentionnés</w:t>
      </w:r>
      <w:r w:rsidR="00FB1CC0" w:rsidRPr="00F33074">
        <w:rPr>
          <w:lang w:val="fr-FR"/>
        </w:rPr>
        <w:t xml:space="preserve">. </w:t>
      </w:r>
      <w:r w:rsidR="008D0434" w:rsidRPr="00F33074">
        <w:rPr>
          <w:lang w:val="fr-FR"/>
        </w:rPr>
        <w:t>Les interventions</w:t>
      </w:r>
      <w:r w:rsidR="00F33074">
        <w:rPr>
          <w:lang w:val="fr-FR"/>
        </w:rPr>
        <w:t xml:space="preserve"> </w:t>
      </w:r>
      <w:r w:rsidR="008D0434" w:rsidRPr="00F33074">
        <w:rPr>
          <w:lang w:val="fr-FR"/>
        </w:rPr>
        <w:t>préopératoires, peropératoires et postopératoires suivantes ont été évaluées pour la gestion de la douleur postopératoire</w:t>
      </w:r>
      <w:r w:rsidR="00FB1CC0" w:rsidRPr="00F33074">
        <w:rPr>
          <w:lang w:val="fr-FR"/>
        </w:rPr>
        <w:t xml:space="preserve"> </w:t>
      </w:r>
      <w:r w:rsidR="008D0434" w:rsidRPr="00F33074">
        <w:rPr>
          <w:lang w:val="fr-FR"/>
        </w:rPr>
        <w:t>après une</w:t>
      </w:r>
      <w:r w:rsidR="00FB1CC0" w:rsidRPr="00F33074">
        <w:rPr>
          <w:lang w:val="fr-FR"/>
        </w:rPr>
        <w:t xml:space="preserve"> </w:t>
      </w:r>
      <w:r w:rsidR="008D0434" w:rsidRPr="00F33074">
        <w:rPr>
          <w:lang w:val="fr-FR"/>
        </w:rPr>
        <w:t>hystérectomie abdominale </w:t>
      </w:r>
      <w:r w:rsidR="00FB1CC0" w:rsidRPr="00F33074">
        <w:rPr>
          <w:lang w:val="fr-FR"/>
        </w:rPr>
        <w:t xml:space="preserve">: </w:t>
      </w:r>
      <w:r w:rsidR="008D0434" w:rsidRPr="00F33074">
        <w:rPr>
          <w:b/>
          <w:bCs/>
          <w:i/>
          <w:iCs/>
          <w:lang w:val="fr-FR"/>
        </w:rPr>
        <w:t xml:space="preserve">Recommandations </w:t>
      </w:r>
      <w:r w:rsidR="008D0434" w:rsidRPr="00F33074">
        <w:rPr>
          <w:b/>
          <w:bCs/>
          <w:lang w:val="fr-FR"/>
        </w:rPr>
        <w:t>préopératoires</w:t>
      </w:r>
      <w:r w:rsidR="00CB52A3" w:rsidRPr="00F33074">
        <w:rPr>
          <w:b/>
          <w:bCs/>
          <w:lang w:val="fr-FR"/>
        </w:rPr>
        <w:t> :</w:t>
      </w:r>
    </w:p>
    <w:p w:rsidR="00FB1CC0" w:rsidRPr="00F33074" w:rsidRDefault="000C2E57" w:rsidP="00FB1CC0">
      <w:pPr>
        <w:numPr>
          <w:ilvl w:val="0"/>
          <w:numId w:val="1"/>
        </w:numPr>
        <w:spacing w:line="240" w:lineRule="auto"/>
        <w:rPr>
          <w:lang w:val="fr-FR"/>
        </w:rPr>
      </w:pPr>
      <w:r w:rsidRPr="00F33074">
        <w:rPr>
          <w:b/>
          <w:bCs/>
          <w:lang w:val="fr-FR"/>
        </w:rPr>
        <w:t>Anesthésie locale rachidienne à une seule dose</w:t>
      </w:r>
      <w:r w:rsidR="00FB1CC0" w:rsidRPr="00F33074">
        <w:rPr>
          <w:b/>
          <w:bCs/>
          <w:lang w:val="fr-FR"/>
        </w:rPr>
        <w:t xml:space="preserve"> plus </w:t>
      </w:r>
      <w:r w:rsidRPr="00F33074">
        <w:rPr>
          <w:b/>
          <w:bCs/>
          <w:lang w:val="fr-FR"/>
        </w:rPr>
        <w:t xml:space="preserve">un </w:t>
      </w:r>
      <w:r w:rsidR="00FB1CC0" w:rsidRPr="00F33074">
        <w:rPr>
          <w:b/>
          <w:bCs/>
          <w:lang w:val="fr-FR"/>
        </w:rPr>
        <w:t>opio</w:t>
      </w:r>
      <w:r w:rsidRPr="00F33074">
        <w:rPr>
          <w:b/>
          <w:bCs/>
          <w:lang w:val="fr-FR"/>
        </w:rPr>
        <w:t>ïde fort,</w:t>
      </w:r>
      <w:r w:rsidR="00FB1CC0" w:rsidRPr="00F33074">
        <w:rPr>
          <w:b/>
          <w:bCs/>
          <w:lang w:val="fr-FR"/>
        </w:rPr>
        <w:t xml:space="preserve"> </w:t>
      </w:r>
      <w:r w:rsidRPr="00F33074">
        <w:rPr>
          <w:b/>
          <w:bCs/>
          <w:lang w:val="fr-FR"/>
        </w:rPr>
        <w:t xml:space="preserve">à des fins anesthésiques </w:t>
      </w:r>
      <w:r w:rsidR="00FB1CC0" w:rsidRPr="00F33074">
        <w:rPr>
          <w:b/>
          <w:bCs/>
          <w:lang w:val="fr-FR"/>
        </w:rPr>
        <w:t xml:space="preserve">(grade D) </w:t>
      </w:r>
      <w:r w:rsidRPr="00F33074">
        <w:rPr>
          <w:b/>
          <w:bCs/>
          <w:lang w:val="fr-FR"/>
        </w:rPr>
        <w:t>et</w:t>
      </w:r>
      <w:r w:rsidR="00FB1CC0" w:rsidRPr="00F33074">
        <w:rPr>
          <w:b/>
          <w:bCs/>
          <w:lang w:val="fr-FR"/>
        </w:rPr>
        <w:t xml:space="preserve"> </w:t>
      </w:r>
      <w:r w:rsidRPr="00F33074">
        <w:rPr>
          <w:b/>
          <w:bCs/>
          <w:lang w:val="fr-FR"/>
        </w:rPr>
        <w:t xml:space="preserve">analgésiques postopératoires </w:t>
      </w:r>
      <w:r w:rsidR="00FB1CC0" w:rsidRPr="00F33074">
        <w:rPr>
          <w:b/>
          <w:bCs/>
          <w:lang w:val="fr-FR"/>
        </w:rPr>
        <w:t xml:space="preserve">(grade A), </w:t>
      </w:r>
      <w:r w:rsidRPr="00F33074">
        <w:rPr>
          <w:b/>
          <w:bCs/>
          <w:lang w:val="fr-FR"/>
        </w:rPr>
        <w:t xml:space="preserve">mais les bénéfices doivent être pondérés par les risques </w:t>
      </w:r>
      <w:r w:rsidR="00F10D3E">
        <w:rPr>
          <w:b/>
          <w:bCs/>
          <w:lang w:val="fr-FR"/>
        </w:rPr>
        <w:t>liés à</w:t>
      </w:r>
      <w:r w:rsidRPr="00F33074">
        <w:rPr>
          <w:b/>
          <w:bCs/>
          <w:lang w:val="fr-FR"/>
        </w:rPr>
        <w:t xml:space="preserve"> la</w:t>
      </w:r>
      <w:r w:rsidR="00FB1CC0" w:rsidRPr="00F33074">
        <w:rPr>
          <w:b/>
          <w:bCs/>
          <w:lang w:val="fr-FR"/>
        </w:rPr>
        <w:t xml:space="preserve"> </w:t>
      </w:r>
      <w:r w:rsidRPr="00F33074">
        <w:rPr>
          <w:b/>
          <w:bCs/>
          <w:lang w:val="fr-FR"/>
        </w:rPr>
        <w:t xml:space="preserve">nature </w:t>
      </w:r>
      <w:r w:rsidR="00FB1CC0" w:rsidRPr="00F33074">
        <w:rPr>
          <w:b/>
          <w:bCs/>
          <w:lang w:val="fr-FR"/>
        </w:rPr>
        <w:t xml:space="preserve">invasive </w:t>
      </w:r>
      <w:r w:rsidRPr="00F33074">
        <w:rPr>
          <w:b/>
          <w:bCs/>
          <w:lang w:val="fr-FR"/>
        </w:rPr>
        <w:t xml:space="preserve">de la </w:t>
      </w:r>
      <w:r w:rsidR="00FB1CC0" w:rsidRPr="00F33074">
        <w:rPr>
          <w:b/>
          <w:bCs/>
          <w:lang w:val="fr-FR"/>
        </w:rPr>
        <w:t>proc</w:t>
      </w:r>
      <w:r w:rsidRPr="00F33074">
        <w:rPr>
          <w:b/>
          <w:bCs/>
          <w:lang w:val="fr-FR"/>
        </w:rPr>
        <w:t>é</w:t>
      </w:r>
      <w:r w:rsidR="00FB1CC0" w:rsidRPr="00F33074">
        <w:rPr>
          <w:b/>
          <w:bCs/>
          <w:lang w:val="fr-FR"/>
        </w:rPr>
        <w:t>dure</w:t>
      </w:r>
      <w:r w:rsidRPr="00F33074">
        <w:rPr>
          <w:b/>
          <w:bCs/>
          <w:lang w:val="fr-FR"/>
        </w:rPr>
        <w:t>.</w:t>
      </w:r>
    </w:p>
    <w:p w:rsidR="00FB1CC0" w:rsidRPr="00F33074" w:rsidRDefault="008D0434" w:rsidP="00FB1CC0">
      <w:pPr>
        <w:numPr>
          <w:ilvl w:val="0"/>
          <w:numId w:val="1"/>
        </w:numPr>
        <w:spacing w:line="240" w:lineRule="auto"/>
        <w:rPr>
          <w:lang w:val="fr-FR"/>
        </w:rPr>
      </w:pPr>
      <w:r w:rsidRPr="00F33074">
        <w:rPr>
          <w:b/>
          <w:bCs/>
          <w:lang w:val="fr-FR"/>
        </w:rPr>
        <w:t>Intervention c</w:t>
      </w:r>
      <w:r w:rsidR="00FB1CC0" w:rsidRPr="00F33074">
        <w:rPr>
          <w:b/>
          <w:bCs/>
          <w:lang w:val="fr-FR"/>
        </w:rPr>
        <w:t xml:space="preserve">ognitive (grade A) </w:t>
      </w:r>
    </w:p>
    <w:p w:rsidR="00FB1CC0" w:rsidRPr="00F33074" w:rsidRDefault="008D0434" w:rsidP="00FB1CC0">
      <w:pPr>
        <w:spacing w:line="240" w:lineRule="auto"/>
        <w:rPr>
          <w:lang w:val="fr-FR"/>
        </w:rPr>
      </w:pPr>
      <w:r w:rsidRPr="00F33074">
        <w:rPr>
          <w:i/>
          <w:iCs/>
          <w:lang w:val="fr-FR"/>
        </w:rPr>
        <w:t>No</w:t>
      </w:r>
      <w:r w:rsidR="00F10D3E">
        <w:rPr>
          <w:i/>
          <w:iCs/>
          <w:lang w:val="fr-FR"/>
        </w:rPr>
        <w:t>n</w:t>
      </w:r>
      <w:r w:rsidRPr="00F33074">
        <w:rPr>
          <w:i/>
          <w:iCs/>
          <w:lang w:val="fr-FR"/>
        </w:rPr>
        <w:t xml:space="preserve"> recommandé </w:t>
      </w:r>
      <w:r w:rsidR="00FB1CC0" w:rsidRPr="00F33074">
        <w:rPr>
          <w:i/>
          <w:iCs/>
          <w:lang w:val="fr-FR"/>
        </w:rPr>
        <w:t>:</w:t>
      </w:r>
    </w:p>
    <w:p w:rsidR="00FB1CC0" w:rsidRPr="00F33074" w:rsidRDefault="000C2E57" w:rsidP="00FB1CC0">
      <w:pPr>
        <w:numPr>
          <w:ilvl w:val="0"/>
          <w:numId w:val="2"/>
        </w:numPr>
        <w:spacing w:line="240" w:lineRule="auto"/>
        <w:rPr>
          <w:lang w:val="fr-FR"/>
        </w:rPr>
      </w:pPr>
      <w:r w:rsidRPr="00F33074">
        <w:rPr>
          <w:lang w:val="fr-FR"/>
        </w:rPr>
        <w:t>Analgésiques</w:t>
      </w:r>
      <w:r w:rsidR="00FB1CC0" w:rsidRPr="00F33074">
        <w:rPr>
          <w:lang w:val="fr-FR"/>
        </w:rPr>
        <w:t xml:space="preserve"> </w:t>
      </w:r>
      <w:r w:rsidRPr="00F33074">
        <w:rPr>
          <w:lang w:val="fr-FR"/>
        </w:rPr>
        <w:t>systémiques (p. ex.</w:t>
      </w:r>
      <w:r w:rsidR="00FB1CC0" w:rsidRPr="00F33074">
        <w:rPr>
          <w:lang w:val="fr-FR"/>
        </w:rPr>
        <w:t xml:space="preserve"> </w:t>
      </w:r>
      <w:r w:rsidRPr="00F33074">
        <w:rPr>
          <w:lang w:val="fr-FR"/>
        </w:rPr>
        <w:t xml:space="preserve">inhibiteurs de la </w:t>
      </w:r>
      <w:r w:rsidR="00FB1CC0" w:rsidRPr="00F33074">
        <w:rPr>
          <w:lang w:val="fr-FR"/>
        </w:rPr>
        <w:t xml:space="preserve">COX-2 </w:t>
      </w:r>
      <w:r w:rsidRPr="00F33074">
        <w:rPr>
          <w:lang w:val="fr-FR"/>
        </w:rPr>
        <w:t>IV</w:t>
      </w:r>
      <w:r w:rsidR="00FB1CC0" w:rsidRPr="00F33074">
        <w:rPr>
          <w:lang w:val="fr-FR"/>
        </w:rPr>
        <w:t xml:space="preserve">, </w:t>
      </w:r>
      <w:r w:rsidRPr="00F33074">
        <w:rPr>
          <w:lang w:val="fr-FR"/>
        </w:rPr>
        <w:t>AINS conventionnels</w:t>
      </w:r>
      <w:r w:rsidR="00FB1CC0" w:rsidRPr="00F33074">
        <w:rPr>
          <w:lang w:val="fr-FR"/>
        </w:rPr>
        <w:t xml:space="preserve">, </w:t>
      </w:r>
      <w:r w:rsidRPr="00F33074">
        <w:rPr>
          <w:lang w:val="fr-FR"/>
        </w:rPr>
        <w:t>opioï</w:t>
      </w:r>
      <w:r w:rsidR="00FB1CC0" w:rsidRPr="00F33074">
        <w:rPr>
          <w:lang w:val="fr-FR"/>
        </w:rPr>
        <w:t>d</w:t>
      </w:r>
      <w:r w:rsidRPr="00F33074">
        <w:rPr>
          <w:lang w:val="fr-FR"/>
        </w:rPr>
        <w:t>e</w:t>
      </w:r>
      <w:r w:rsidR="00FB1CC0" w:rsidRPr="00F33074">
        <w:rPr>
          <w:lang w:val="fr-FR"/>
        </w:rPr>
        <w:t>s</w:t>
      </w:r>
      <w:r w:rsidRPr="00F33074">
        <w:rPr>
          <w:lang w:val="fr-FR"/>
        </w:rPr>
        <w:t xml:space="preserve"> forts</w:t>
      </w:r>
      <w:r w:rsidR="00FB1CC0" w:rsidRPr="00F33074">
        <w:rPr>
          <w:lang w:val="fr-FR"/>
        </w:rPr>
        <w:t xml:space="preserve">), </w:t>
      </w:r>
      <w:r w:rsidRPr="00F33074">
        <w:rPr>
          <w:lang w:val="fr-FR"/>
        </w:rPr>
        <w:t>sauf pour assurer une analgésie suffisante lorsque l</w:t>
      </w:r>
      <w:r w:rsidR="00DA5E3A" w:rsidRPr="00F33074">
        <w:rPr>
          <w:lang w:val="fr-FR"/>
        </w:rPr>
        <w:t>a</w:t>
      </w:r>
      <w:r w:rsidR="00FB1CC0" w:rsidRPr="00F33074">
        <w:rPr>
          <w:lang w:val="fr-FR"/>
        </w:rPr>
        <w:t xml:space="preserve"> patient</w:t>
      </w:r>
      <w:r w:rsidR="00DA5E3A" w:rsidRPr="00F33074">
        <w:rPr>
          <w:lang w:val="fr-FR"/>
        </w:rPr>
        <w:t>e</w:t>
      </w:r>
      <w:r w:rsidR="00FB1CC0" w:rsidRPr="00F33074">
        <w:rPr>
          <w:lang w:val="fr-FR"/>
        </w:rPr>
        <w:t xml:space="preserve"> </w:t>
      </w:r>
      <w:r w:rsidRPr="00F33074">
        <w:rPr>
          <w:lang w:val="fr-FR"/>
        </w:rPr>
        <w:t>se réveille (p. ex.</w:t>
      </w:r>
      <w:r w:rsidR="00FB1CC0" w:rsidRPr="00F33074">
        <w:rPr>
          <w:lang w:val="fr-FR"/>
        </w:rPr>
        <w:t xml:space="preserve"> </w:t>
      </w:r>
      <w:r w:rsidRPr="00F33074">
        <w:rPr>
          <w:lang w:val="fr-FR"/>
        </w:rPr>
        <w:t xml:space="preserve">inhibiteurs </w:t>
      </w:r>
      <w:r w:rsidR="00FB1CC0" w:rsidRPr="00F33074">
        <w:rPr>
          <w:lang w:val="fr-FR"/>
        </w:rPr>
        <w:t xml:space="preserve">COX-2 </w:t>
      </w:r>
      <w:r w:rsidRPr="00F33074">
        <w:rPr>
          <w:lang w:val="fr-FR"/>
        </w:rPr>
        <w:t>oraux</w:t>
      </w:r>
      <w:r w:rsidR="00FB1CC0" w:rsidRPr="00F33074">
        <w:rPr>
          <w:lang w:val="fr-FR"/>
        </w:rPr>
        <w:t>) (grade A)</w:t>
      </w:r>
    </w:p>
    <w:p w:rsidR="00FB1CC0" w:rsidRPr="00F33074" w:rsidRDefault="00FB1CC0" w:rsidP="00FB1CC0">
      <w:pPr>
        <w:numPr>
          <w:ilvl w:val="0"/>
          <w:numId w:val="2"/>
        </w:numPr>
        <w:spacing w:line="240" w:lineRule="auto"/>
        <w:rPr>
          <w:lang w:val="fr-FR"/>
        </w:rPr>
      </w:pPr>
      <w:r w:rsidRPr="00F33074">
        <w:rPr>
          <w:lang w:val="fr-FR"/>
        </w:rPr>
        <w:t xml:space="preserve">Clonidine, </w:t>
      </w:r>
      <w:r w:rsidR="000C2E57" w:rsidRPr="00F33074">
        <w:rPr>
          <w:lang w:val="fr-FR"/>
        </w:rPr>
        <w:t xml:space="preserve">antagonistes du récepteur NMDA et </w:t>
      </w:r>
      <w:r w:rsidRPr="00F33074">
        <w:rPr>
          <w:lang w:val="fr-FR"/>
        </w:rPr>
        <w:t>benzodiaz</w:t>
      </w:r>
      <w:r w:rsidR="000C2E57" w:rsidRPr="00F33074">
        <w:rPr>
          <w:lang w:val="fr-FR"/>
        </w:rPr>
        <w:t>é</w:t>
      </w:r>
      <w:r w:rsidRPr="00F33074">
        <w:rPr>
          <w:lang w:val="fr-FR"/>
        </w:rPr>
        <w:t>pines (grade A)</w:t>
      </w:r>
    </w:p>
    <w:p w:rsidR="00FB1CC0" w:rsidRPr="00F33074" w:rsidRDefault="00A647A8" w:rsidP="00FB1CC0">
      <w:pPr>
        <w:numPr>
          <w:ilvl w:val="0"/>
          <w:numId w:val="2"/>
        </w:numPr>
        <w:spacing w:line="240" w:lineRule="auto"/>
        <w:rPr>
          <w:lang w:val="fr-FR"/>
        </w:rPr>
      </w:pPr>
      <w:r w:rsidRPr="00F33074">
        <w:rPr>
          <w:lang w:val="fr-FR"/>
        </w:rPr>
        <w:t>Une seule dose péridural</w:t>
      </w:r>
      <w:r w:rsidR="00B22D36">
        <w:rPr>
          <w:lang w:val="fr-FR"/>
        </w:rPr>
        <w:t>e</w:t>
      </w:r>
      <w:r w:rsidRPr="00F33074">
        <w:rPr>
          <w:lang w:val="fr-FR"/>
        </w:rPr>
        <w:t xml:space="preserve"> pour </w:t>
      </w:r>
      <w:r w:rsidR="00F10D3E" w:rsidRPr="00F33074">
        <w:rPr>
          <w:lang w:val="fr-FR"/>
        </w:rPr>
        <w:t>une analgésie</w:t>
      </w:r>
      <w:r w:rsidRPr="00F33074">
        <w:rPr>
          <w:lang w:val="fr-FR"/>
        </w:rPr>
        <w:t xml:space="preserve"> postopé</w:t>
      </w:r>
      <w:r w:rsidR="00FB1CC0" w:rsidRPr="00F33074">
        <w:rPr>
          <w:lang w:val="fr-FR"/>
        </w:rPr>
        <w:t>rat</w:t>
      </w:r>
      <w:r w:rsidRPr="00F33074">
        <w:rPr>
          <w:lang w:val="fr-FR"/>
        </w:rPr>
        <w:t>oire</w:t>
      </w:r>
      <w:r w:rsidR="00FB1CC0" w:rsidRPr="00F33074">
        <w:rPr>
          <w:lang w:val="fr-FR"/>
        </w:rPr>
        <w:t xml:space="preserve"> (grade A)</w:t>
      </w:r>
    </w:p>
    <w:p w:rsidR="00FB1CC0" w:rsidRPr="00F33074" w:rsidRDefault="00CB52A3" w:rsidP="00FB1CC0">
      <w:pPr>
        <w:numPr>
          <w:ilvl w:val="0"/>
          <w:numId w:val="2"/>
        </w:numPr>
        <w:spacing w:line="240" w:lineRule="auto"/>
        <w:rPr>
          <w:lang w:val="fr-FR"/>
        </w:rPr>
      </w:pPr>
      <w:r w:rsidRPr="00F33074">
        <w:rPr>
          <w:lang w:val="fr-FR"/>
        </w:rPr>
        <w:t>Infiltration cutanée d’anesthésie locale</w:t>
      </w:r>
      <w:r w:rsidR="00FB1CC0" w:rsidRPr="00F33074">
        <w:rPr>
          <w:lang w:val="fr-FR"/>
        </w:rPr>
        <w:t xml:space="preserve"> </w:t>
      </w:r>
      <w:r w:rsidRPr="00F33074">
        <w:rPr>
          <w:lang w:val="fr-FR"/>
        </w:rPr>
        <w:t>au site d’i</w:t>
      </w:r>
      <w:r w:rsidR="00FB1CC0" w:rsidRPr="00F33074">
        <w:rPr>
          <w:lang w:val="fr-FR"/>
        </w:rPr>
        <w:t>ncision</w:t>
      </w:r>
      <w:r w:rsidRPr="00F33074">
        <w:rPr>
          <w:lang w:val="fr-FR"/>
        </w:rPr>
        <w:t xml:space="preserve"> proposé</w:t>
      </w:r>
      <w:r w:rsidR="00FB1CC0" w:rsidRPr="00F33074">
        <w:rPr>
          <w:lang w:val="fr-FR"/>
        </w:rPr>
        <w:t xml:space="preserve"> (grade A) (</w:t>
      </w:r>
      <w:r w:rsidRPr="00F33074">
        <w:rPr>
          <w:lang w:val="fr-FR"/>
        </w:rPr>
        <w:t>mais une infiltration de la plaie peropératoire est recommandée</w:t>
      </w:r>
      <w:r w:rsidR="00FB1CC0" w:rsidRPr="00F33074">
        <w:rPr>
          <w:lang w:val="fr-FR"/>
        </w:rPr>
        <w:t xml:space="preserve">, </w:t>
      </w:r>
      <w:r w:rsidRPr="00F33074">
        <w:rPr>
          <w:lang w:val="fr-FR"/>
        </w:rPr>
        <w:t>voir ci-dessous</w:t>
      </w:r>
      <w:r w:rsidR="00FB1CC0" w:rsidRPr="00F33074">
        <w:rPr>
          <w:lang w:val="fr-FR"/>
        </w:rPr>
        <w:t>)</w:t>
      </w:r>
    </w:p>
    <w:p w:rsidR="00FB1CC0" w:rsidRPr="00F33074" w:rsidRDefault="00CB52A3" w:rsidP="00FB1CC0">
      <w:pPr>
        <w:numPr>
          <w:ilvl w:val="0"/>
          <w:numId w:val="2"/>
        </w:numPr>
        <w:spacing w:line="240" w:lineRule="auto"/>
        <w:rPr>
          <w:lang w:val="fr-FR"/>
        </w:rPr>
      </w:pPr>
      <w:r w:rsidRPr="00F33074">
        <w:rPr>
          <w:lang w:val="fr-FR"/>
        </w:rPr>
        <w:t>A</w:t>
      </w:r>
      <w:r w:rsidR="00FB1CC0" w:rsidRPr="00F33074">
        <w:rPr>
          <w:lang w:val="fr-FR"/>
        </w:rPr>
        <w:t xml:space="preserve">rnica </w:t>
      </w:r>
      <w:r w:rsidRPr="00F33074">
        <w:rPr>
          <w:lang w:val="fr-FR"/>
        </w:rPr>
        <w:t>homéopathique et</w:t>
      </w:r>
      <w:r w:rsidR="00FB1CC0" w:rsidRPr="00F33074">
        <w:rPr>
          <w:lang w:val="fr-FR"/>
        </w:rPr>
        <w:t xml:space="preserve"> </w:t>
      </w:r>
      <w:r w:rsidRPr="00F33074">
        <w:rPr>
          <w:lang w:val="fr-FR"/>
        </w:rPr>
        <w:t>techniques d’auto</w:t>
      </w:r>
      <w:r w:rsidR="00FB1CC0" w:rsidRPr="00F33074">
        <w:rPr>
          <w:lang w:val="fr-FR"/>
        </w:rPr>
        <w:t>relaxation (grade A)</w:t>
      </w:r>
    </w:p>
    <w:p w:rsidR="00FB1CC0" w:rsidRPr="00F33074" w:rsidRDefault="00CB52A3" w:rsidP="00FB1CC0">
      <w:pPr>
        <w:spacing w:line="240" w:lineRule="auto"/>
        <w:rPr>
          <w:lang w:val="fr-FR"/>
        </w:rPr>
      </w:pPr>
      <w:r w:rsidRPr="00F33074">
        <w:rPr>
          <w:b/>
          <w:bCs/>
          <w:i/>
          <w:iCs/>
          <w:lang w:val="fr-FR"/>
        </w:rPr>
        <w:t xml:space="preserve">Recommandations </w:t>
      </w:r>
      <w:r w:rsidRPr="00F33074">
        <w:rPr>
          <w:b/>
          <w:bCs/>
          <w:lang w:val="fr-FR"/>
        </w:rPr>
        <w:t>peropératoires :</w:t>
      </w:r>
    </w:p>
    <w:p w:rsidR="00FB1CC0" w:rsidRPr="00F33074" w:rsidRDefault="00F8201D" w:rsidP="00FB1CC0">
      <w:pPr>
        <w:numPr>
          <w:ilvl w:val="0"/>
          <w:numId w:val="3"/>
        </w:numPr>
        <w:spacing w:line="240" w:lineRule="auto"/>
        <w:rPr>
          <w:lang w:val="fr-FR"/>
        </w:rPr>
      </w:pPr>
      <w:r w:rsidRPr="00F33074">
        <w:rPr>
          <w:b/>
          <w:bCs/>
          <w:lang w:val="fr-FR"/>
        </w:rPr>
        <w:t xml:space="preserve">Anesthésie générale ou anesthésie rachidienne à une seule dose avec ou sans anesthésie générale légère chez des </w:t>
      </w:r>
      <w:r w:rsidR="00FB1CC0" w:rsidRPr="00F33074">
        <w:rPr>
          <w:b/>
          <w:bCs/>
          <w:lang w:val="fr-FR"/>
        </w:rPr>
        <w:t>patient</w:t>
      </w:r>
      <w:r w:rsidR="00DA5E3A" w:rsidRPr="00F33074">
        <w:rPr>
          <w:b/>
          <w:bCs/>
          <w:lang w:val="fr-FR"/>
        </w:rPr>
        <w:t>e</w:t>
      </w:r>
      <w:r w:rsidR="00FB1CC0" w:rsidRPr="00F33074">
        <w:rPr>
          <w:b/>
          <w:bCs/>
          <w:lang w:val="fr-FR"/>
        </w:rPr>
        <w:t xml:space="preserve">s </w:t>
      </w:r>
      <w:r w:rsidRPr="00F33074">
        <w:rPr>
          <w:b/>
          <w:bCs/>
          <w:lang w:val="fr-FR"/>
        </w:rPr>
        <w:t xml:space="preserve">à faible risque </w:t>
      </w:r>
      <w:r w:rsidR="00FB1CC0" w:rsidRPr="00F33074">
        <w:rPr>
          <w:b/>
          <w:bCs/>
          <w:lang w:val="fr-FR"/>
        </w:rPr>
        <w:t xml:space="preserve">(grade D) </w:t>
      </w:r>
    </w:p>
    <w:p w:rsidR="00FB1CC0" w:rsidRPr="00F33074" w:rsidRDefault="00F8201D" w:rsidP="00FB1CC0">
      <w:pPr>
        <w:numPr>
          <w:ilvl w:val="0"/>
          <w:numId w:val="3"/>
        </w:numPr>
        <w:spacing w:line="240" w:lineRule="auto"/>
        <w:rPr>
          <w:lang w:val="fr-FR"/>
        </w:rPr>
      </w:pPr>
      <w:r w:rsidRPr="00F33074">
        <w:rPr>
          <w:b/>
          <w:bCs/>
          <w:lang w:val="fr-FR"/>
        </w:rPr>
        <w:t>Anesthésie</w:t>
      </w:r>
      <w:r w:rsidR="00FB1CC0" w:rsidRPr="00F33074">
        <w:rPr>
          <w:b/>
          <w:bCs/>
          <w:lang w:val="fr-FR"/>
        </w:rPr>
        <w:t xml:space="preserve"> </w:t>
      </w:r>
      <w:r w:rsidRPr="00F33074">
        <w:rPr>
          <w:b/>
          <w:bCs/>
          <w:lang w:val="fr-FR"/>
        </w:rPr>
        <w:t xml:space="preserve">péridurale </w:t>
      </w:r>
      <w:r w:rsidR="00FB1CC0" w:rsidRPr="00F33074">
        <w:rPr>
          <w:b/>
          <w:bCs/>
          <w:lang w:val="fr-FR"/>
        </w:rPr>
        <w:t>combin</w:t>
      </w:r>
      <w:r w:rsidRPr="00F33074">
        <w:rPr>
          <w:b/>
          <w:bCs/>
          <w:lang w:val="fr-FR"/>
        </w:rPr>
        <w:t>é</w:t>
      </w:r>
      <w:r w:rsidR="00FB1CC0" w:rsidRPr="00F33074">
        <w:rPr>
          <w:b/>
          <w:bCs/>
          <w:lang w:val="fr-FR"/>
        </w:rPr>
        <w:t xml:space="preserve">e </w:t>
      </w:r>
      <w:r w:rsidRPr="00F33074">
        <w:rPr>
          <w:b/>
          <w:bCs/>
          <w:lang w:val="fr-FR"/>
        </w:rPr>
        <w:t>avec anesthésie générale légère ou anesthésie rachidienne</w:t>
      </w:r>
      <w:r w:rsidR="00FB1CC0" w:rsidRPr="00F33074">
        <w:rPr>
          <w:b/>
          <w:bCs/>
          <w:lang w:val="fr-FR"/>
        </w:rPr>
        <w:t>-</w:t>
      </w:r>
      <w:r w:rsidRPr="00F33074">
        <w:rPr>
          <w:b/>
          <w:bCs/>
          <w:lang w:val="fr-FR"/>
        </w:rPr>
        <w:t>péridurale combinée, chez des patient</w:t>
      </w:r>
      <w:r w:rsidR="00DA5E3A" w:rsidRPr="00F33074">
        <w:rPr>
          <w:b/>
          <w:bCs/>
          <w:lang w:val="fr-FR"/>
        </w:rPr>
        <w:t>e</w:t>
      </w:r>
      <w:r w:rsidRPr="00F33074">
        <w:rPr>
          <w:b/>
          <w:bCs/>
          <w:lang w:val="fr-FR"/>
        </w:rPr>
        <w:t xml:space="preserve">s à haut risque </w:t>
      </w:r>
      <w:r w:rsidR="00FB1CC0" w:rsidRPr="00F33074">
        <w:rPr>
          <w:b/>
          <w:bCs/>
          <w:lang w:val="fr-FR"/>
        </w:rPr>
        <w:t xml:space="preserve">(grade A) </w:t>
      </w:r>
    </w:p>
    <w:p w:rsidR="00FB1CC0" w:rsidRPr="00F33074" w:rsidRDefault="00F8201D" w:rsidP="00FB1CC0">
      <w:pPr>
        <w:numPr>
          <w:ilvl w:val="0"/>
          <w:numId w:val="3"/>
        </w:numPr>
        <w:spacing w:line="240" w:lineRule="auto"/>
        <w:rPr>
          <w:lang w:val="fr-FR"/>
        </w:rPr>
      </w:pPr>
      <w:r w:rsidRPr="00F33074">
        <w:rPr>
          <w:b/>
          <w:bCs/>
          <w:lang w:val="fr-FR"/>
        </w:rPr>
        <w:t>Opioïdes forts</w:t>
      </w:r>
      <w:r w:rsidR="00FB1CC0" w:rsidRPr="00F33074">
        <w:rPr>
          <w:b/>
          <w:bCs/>
          <w:lang w:val="fr-FR"/>
        </w:rPr>
        <w:t xml:space="preserve"> </w:t>
      </w:r>
      <w:r w:rsidRPr="00F33074">
        <w:rPr>
          <w:b/>
          <w:bCs/>
          <w:lang w:val="fr-FR"/>
        </w:rPr>
        <w:t>administrés</w:t>
      </w:r>
      <w:r w:rsidR="00FB1CC0" w:rsidRPr="00F33074">
        <w:rPr>
          <w:b/>
          <w:bCs/>
          <w:lang w:val="fr-FR"/>
        </w:rPr>
        <w:t xml:space="preserve"> </w:t>
      </w:r>
      <w:r w:rsidRPr="00F33074">
        <w:rPr>
          <w:b/>
          <w:bCs/>
          <w:lang w:val="fr-FR"/>
        </w:rPr>
        <w:t>suffisamment tôt pour assurer une analgésie suffisante lorsque l</w:t>
      </w:r>
      <w:r w:rsidR="00DA5E3A" w:rsidRPr="00F33074">
        <w:rPr>
          <w:b/>
          <w:bCs/>
          <w:lang w:val="fr-FR"/>
        </w:rPr>
        <w:t>a</w:t>
      </w:r>
      <w:r w:rsidR="00FB1CC0" w:rsidRPr="00F33074">
        <w:rPr>
          <w:b/>
          <w:bCs/>
          <w:lang w:val="fr-FR"/>
        </w:rPr>
        <w:t xml:space="preserve"> patient</w:t>
      </w:r>
      <w:r w:rsidR="00DA5E3A" w:rsidRPr="00F33074">
        <w:rPr>
          <w:b/>
          <w:bCs/>
          <w:lang w:val="fr-FR"/>
        </w:rPr>
        <w:t>e</w:t>
      </w:r>
      <w:r w:rsidR="00FB1CC0" w:rsidRPr="00F33074">
        <w:rPr>
          <w:b/>
          <w:bCs/>
          <w:lang w:val="fr-FR"/>
        </w:rPr>
        <w:t xml:space="preserve"> </w:t>
      </w:r>
      <w:r w:rsidRPr="00F33074">
        <w:rPr>
          <w:b/>
          <w:bCs/>
          <w:lang w:val="fr-FR"/>
        </w:rPr>
        <w:t>se réveille</w:t>
      </w:r>
      <w:r w:rsidR="00FB1CC0" w:rsidRPr="00F33074">
        <w:rPr>
          <w:b/>
          <w:bCs/>
          <w:lang w:val="fr-FR"/>
        </w:rPr>
        <w:t xml:space="preserve"> (grade A) </w:t>
      </w:r>
    </w:p>
    <w:p w:rsidR="00FB1CC0" w:rsidRPr="00F33074" w:rsidRDefault="00F8201D" w:rsidP="00FB1CC0">
      <w:pPr>
        <w:numPr>
          <w:ilvl w:val="0"/>
          <w:numId w:val="3"/>
        </w:numPr>
        <w:spacing w:line="240" w:lineRule="auto"/>
        <w:rPr>
          <w:lang w:val="fr-FR"/>
        </w:rPr>
      </w:pPr>
      <w:r w:rsidRPr="00F33074">
        <w:rPr>
          <w:b/>
          <w:bCs/>
          <w:lang w:val="fr-FR"/>
        </w:rPr>
        <w:t>Infiltration de la plaie avant la fermeture</w:t>
      </w:r>
      <w:r w:rsidR="00FB1CC0" w:rsidRPr="00F33074">
        <w:rPr>
          <w:b/>
          <w:bCs/>
          <w:lang w:val="fr-FR"/>
        </w:rPr>
        <w:t xml:space="preserve"> (grade A) </w:t>
      </w:r>
    </w:p>
    <w:p w:rsidR="00FB1CC0" w:rsidRPr="00F33074" w:rsidRDefault="00FF471D" w:rsidP="00FB1CC0">
      <w:pPr>
        <w:numPr>
          <w:ilvl w:val="0"/>
          <w:numId w:val="3"/>
        </w:numPr>
        <w:spacing w:line="240" w:lineRule="auto"/>
        <w:rPr>
          <w:lang w:val="fr-FR"/>
        </w:rPr>
      </w:pPr>
      <w:r w:rsidRPr="00F33074">
        <w:rPr>
          <w:b/>
          <w:bCs/>
          <w:lang w:val="fr-FR"/>
        </w:rPr>
        <w:t>HVAL</w:t>
      </w:r>
      <w:r w:rsidR="00FB1CC0" w:rsidRPr="00F33074">
        <w:rPr>
          <w:b/>
          <w:bCs/>
          <w:lang w:val="fr-FR"/>
        </w:rPr>
        <w:t xml:space="preserve"> o</w:t>
      </w:r>
      <w:r w:rsidRPr="00F33074">
        <w:rPr>
          <w:b/>
          <w:bCs/>
          <w:lang w:val="fr-FR"/>
        </w:rPr>
        <w:t xml:space="preserve">u </w:t>
      </w:r>
      <w:r w:rsidR="00FB1CC0" w:rsidRPr="00F33074">
        <w:rPr>
          <w:b/>
          <w:bCs/>
          <w:lang w:val="fr-FR"/>
        </w:rPr>
        <w:t>H</w:t>
      </w:r>
      <w:r w:rsidRPr="00F33074">
        <w:rPr>
          <w:b/>
          <w:bCs/>
          <w:lang w:val="fr-FR"/>
        </w:rPr>
        <w:t>V</w:t>
      </w:r>
      <w:r w:rsidR="00FB1CC0" w:rsidRPr="00F33074">
        <w:rPr>
          <w:b/>
          <w:bCs/>
          <w:lang w:val="fr-FR"/>
        </w:rPr>
        <w:t xml:space="preserve"> </w:t>
      </w:r>
      <w:r w:rsidRPr="00F33074">
        <w:rPr>
          <w:b/>
          <w:bCs/>
          <w:lang w:val="fr-FR"/>
        </w:rPr>
        <w:t>au lieu d’une</w:t>
      </w:r>
      <w:r w:rsidR="00FB1CC0" w:rsidRPr="00F33074">
        <w:rPr>
          <w:b/>
          <w:bCs/>
          <w:lang w:val="fr-FR"/>
        </w:rPr>
        <w:t xml:space="preserve"> </w:t>
      </w:r>
      <w:r w:rsidRPr="00F33074">
        <w:rPr>
          <w:b/>
          <w:bCs/>
          <w:lang w:val="fr-FR"/>
        </w:rPr>
        <w:t>hystérectomie abdominale</w:t>
      </w:r>
      <w:r w:rsidR="00FB1CC0" w:rsidRPr="00F33074">
        <w:rPr>
          <w:b/>
          <w:bCs/>
          <w:lang w:val="fr-FR"/>
        </w:rPr>
        <w:t xml:space="preserve">, </w:t>
      </w:r>
      <w:r w:rsidRPr="00F33074">
        <w:rPr>
          <w:b/>
          <w:bCs/>
          <w:lang w:val="fr-FR"/>
        </w:rPr>
        <w:t>uniquement si cela est permis par les exigences chirurgicales</w:t>
      </w:r>
      <w:r w:rsidR="00FB1CC0" w:rsidRPr="00F33074">
        <w:rPr>
          <w:b/>
          <w:bCs/>
          <w:lang w:val="fr-FR"/>
        </w:rPr>
        <w:t xml:space="preserve"> (</w:t>
      </w:r>
      <w:r w:rsidRPr="00F33074">
        <w:rPr>
          <w:b/>
          <w:bCs/>
          <w:lang w:val="fr-FR"/>
        </w:rPr>
        <w:t>selon la viabilité technique</w:t>
      </w:r>
      <w:r w:rsidR="00FB1CC0" w:rsidRPr="00F33074">
        <w:rPr>
          <w:b/>
          <w:bCs/>
          <w:lang w:val="fr-FR"/>
        </w:rPr>
        <w:t xml:space="preserve">, </w:t>
      </w:r>
      <w:r w:rsidRPr="00F33074">
        <w:rPr>
          <w:b/>
          <w:bCs/>
          <w:lang w:val="fr-FR"/>
        </w:rPr>
        <w:t>l’</w:t>
      </w:r>
      <w:r w:rsidR="00FB1CC0" w:rsidRPr="00F33074">
        <w:rPr>
          <w:b/>
          <w:bCs/>
          <w:lang w:val="fr-FR"/>
        </w:rPr>
        <w:t xml:space="preserve">indication </w:t>
      </w:r>
      <w:r w:rsidRPr="00F33074">
        <w:rPr>
          <w:b/>
          <w:bCs/>
          <w:lang w:val="fr-FR"/>
        </w:rPr>
        <w:t>de la patiente concernant l'hysté</w:t>
      </w:r>
      <w:r w:rsidR="00FB1CC0" w:rsidRPr="00F33074">
        <w:rPr>
          <w:b/>
          <w:bCs/>
          <w:lang w:val="fr-FR"/>
        </w:rPr>
        <w:t>rectom</w:t>
      </w:r>
      <w:r w:rsidRPr="00F33074">
        <w:rPr>
          <w:b/>
          <w:bCs/>
          <w:lang w:val="fr-FR"/>
        </w:rPr>
        <w:t>ie</w:t>
      </w:r>
      <w:r w:rsidR="00FB1CC0" w:rsidRPr="00F33074">
        <w:rPr>
          <w:b/>
          <w:bCs/>
          <w:lang w:val="fr-FR"/>
        </w:rPr>
        <w:t xml:space="preserve"> </w:t>
      </w:r>
      <w:r w:rsidRPr="00F33074">
        <w:rPr>
          <w:b/>
          <w:bCs/>
          <w:lang w:val="fr-FR"/>
        </w:rPr>
        <w:t>et les facteurs de risque</w:t>
      </w:r>
      <w:r w:rsidR="00FB1CC0" w:rsidRPr="00F33074">
        <w:rPr>
          <w:b/>
          <w:bCs/>
          <w:lang w:val="fr-FR"/>
        </w:rPr>
        <w:t xml:space="preserve">) (grade A) </w:t>
      </w:r>
    </w:p>
    <w:p w:rsidR="00FB1CC0" w:rsidRPr="00F33074" w:rsidRDefault="002F0157" w:rsidP="00FB1CC0">
      <w:pPr>
        <w:numPr>
          <w:ilvl w:val="0"/>
          <w:numId w:val="3"/>
        </w:numPr>
        <w:spacing w:line="240" w:lineRule="auto"/>
        <w:rPr>
          <w:lang w:val="fr-FR"/>
        </w:rPr>
      </w:pPr>
      <w:r w:rsidRPr="00F33074">
        <w:rPr>
          <w:b/>
          <w:bCs/>
          <w:lang w:val="fr-FR"/>
        </w:rPr>
        <w:t>I</w:t>
      </w:r>
      <w:r w:rsidR="00FB1CC0" w:rsidRPr="00F33074">
        <w:rPr>
          <w:b/>
          <w:bCs/>
          <w:lang w:val="fr-FR"/>
        </w:rPr>
        <w:t>ncision</w:t>
      </w:r>
      <w:r w:rsidRPr="00F33074">
        <w:rPr>
          <w:b/>
          <w:bCs/>
          <w:lang w:val="fr-FR"/>
        </w:rPr>
        <w:t xml:space="preserve"> de Pfannenstiel</w:t>
      </w:r>
      <w:r w:rsidR="00FB1CC0" w:rsidRPr="00F33074">
        <w:rPr>
          <w:b/>
          <w:bCs/>
          <w:lang w:val="fr-FR"/>
        </w:rPr>
        <w:t xml:space="preserve">, </w:t>
      </w:r>
      <w:r w:rsidR="00DA5E3A" w:rsidRPr="00F33074">
        <w:rPr>
          <w:b/>
          <w:bCs/>
          <w:lang w:val="fr-FR"/>
        </w:rPr>
        <w:t>uniquement si cela est permis par les exigences chirurgicales (selon la viabilité technique, l’indication de la patiente concernant l'hystérectomie et les facteurs de risque</w:t>
      </w:r>
      <w:r w:rsidR="00FB1CC0" w:rsidRPr="00F33074">
        <w:rPr>
          <w:b/>
          <w:bCs/>
          <w:lang w:val="fr-FR"/>
        </w:rPr>
        <w:t xml:space="preserve">) (grade B) </w:t>
      </w:r>
    </w:p>
    <w:p w:rsidR="00FB1CC0" w:rsidRPr="00F33074" w:rsidRDefault="00DA5E3A" w:rsidP="00FB1CC0">
      <w:pPr>
        <w:numPr>
          <w:ilvl w:val="0"/>
          <w:numId w:val="3"/>
        </w:numPr>
        <w:spacing w:line="240" w:lineRule="auto"/>
        <w:rPr>
          <w:lang w:val="fr-FR"/>
        </w:rPr>
      </w:pPr>
      <w:r w:rsidRPr="00F33074">
        <w:rPr>
          <w:b/>
          <w:bCs/>
          <w:lang w:val="fr-FR"/>
        </w:rPr>
        <w:lastRenderedPageBreak/>
        <w:t>I</w:t>
      </w:r>
      <w:r w:rsidR="00FB1CC0" w:rsidRPr="00F33074">
        <w:rPr>
          <w:b/>
          <w:bCs/>
          <w:lang w:val="fr-FR"/>
        </w:rPr>
        <w:t xml:space="preserve">ncision </w:t>
      </w:r>
      <w:r w:rsidRPr="00F33074">
        <w:rPr>
          <w:b/>
          <w:bCs/>
          <w:lang w:val="fr-FR"/>
        </w:rPr>
        <w:t xml:space="preserve">par diathermie </w:t>
      </w:r>
      <w:r w:rsidR="00FB1CC0" w:rsidRPr="00F33074">
        <w:rPr>
          <w:b/>
          <w:bCs/>
          <w:lang w:val="fr-FR"/>
        </w:rPr>
        <w:t xml:space="preserve">(grade B) </w:t>
      </w:r>
    </w:p>
    <w:p w:rsidR="00FB1CC0" w:rsidRPr="00F33074" w:rsidRDefault="00A00C61" w:rsidP="00FB1CC0">
      <w:pPr>
        <w:numPr>
          <w:ilvl w:val="0"/>
          <w:numId w:val="3"/>
        </w:numPr>
        <w:spacing w:line="240" w:lineRule="auto"/>
        <w:rPr>
          <w:lang w:val="fr-FR"/>
        </w:rPr>
      </w:pPr>
      <w:r w:rsidRPr="00F33074">
        <w:rPr>
          <w:b/>
          <w:bCs/>
          <w:lang w:val="fr-FR"/>
        </w:rPr>
        <w:t xml:space="preserve">Réchauffement actif de la patiente chez les </w:t>
      </w:r>
      <w:r w:rsidR="00FB1CC0" w:rsidRPr="00F33074">
        <w:rPr>
          <w:b/>
          <w:bCs/>
          <w:lang w:val="fr-FR"/>
        </w:rPr>
        <w:t>patient</w:t>
      </w:r>
      <w:r w:rsidRPr="00F33074">
        <w:rPr>
          <w:b/>
          <w:bCs/>
          <w:lang w:val="fr-FR"/>
        </w:rPr>
        <w:t>e</w:t>
      </w:r>
      <w:r w:rsidR="00FB1CC0" w:rsidRPr="00F33074">
        <w:rPr>
          <w:b/>
          <w:bCs/>
          <w:lang w:val="fr-FR"/>
        </w:rPr>
        <w:t>s</w:t>
      </w:r>
      <w:r w:rsidRPr="00F33074">
        <w:rPr>
          <w:b/>
          <w:bCs/>
          <w:lang w:val="fr-FR"/>
        </w:rPr>
        <w:t xml:space="preserve"> à haut risque</w:t>
      </w:r>
      <w:r w:rsidR="00FB1CC0" w:rsidRPr="00F33074">
        <w:rPr>
          <w:b/>
          <w:bCs/>
          <w:lang w:val="fr-FR"/>
        </w:rPr>
        <w:t xml:space="preserve"> (grade A) </w:t>
      </w:r>
    </w:p>
    <w:p w:rsidR="00FB1CC0" w:rsidRPr="00F33074" w:rsidRDefault="00DA5E3A" w:rsidP="00FB1CC0">
      <w:pPr>
        <w:numPr>
          <w:ilvl w:val="0"/>
          <w:numId w:val="3"/>
        </w:numPr>
        <w:spacing w:line="240" w:lineRule="auto"/>
        <w:rPr>
          <w:lang w:val="fr-FR"/>
        </w:rPr>
      </w:pPr>
      <w:r w:rsidRPr="00F33074">
        <w:rPr>
          <w:b/>
          <w:bCs/>
          <w:lang w:val="fr-FR"/>
        </w:rPr>
        <w:t>Musique peropératoir</w:t>
      </w:r>
      <w:r w:rsidR="00FB1CC0" w:rsidRPr="00F33074">
        <w:rPr>
          <w:b/>
          <w:bCs/>
          <w:lang w:val="fr-FR"/>
        </w:rPr>
        <w:t>e (grade A)</w:t>
      </w:r>
    </w:p>
    <w:p w:rsidR="00FB1CC0" w:rsidRPr="00F33074" w:rsidRDefault="00FB1CC0" w:rsidP="00FB1CC0">
      <w:pPr>
        <w:spacing w:line="240" w:lineRule="auto"/>
        <w:rPr>
          <w:lang w:val="fr-FR"/>
        </w:rPr>
      </w:pPr>
      <w:r w:rsidRPr="00F33074">
        <w:rPr>
          <w:i/>
          <w:iCs/>
          <w:lang w:val="fr-FR"/>
        </w:rPr>
        <w:t>No</w:t>
      </w:r>
      <w:r w:rsidR="00A00C61" w:rsidRPr="00F33074">
        <w:rPr>
          <w:i/>
          <w:iCs/>
          <w:lang w:val="fr-FR"/>
        </w:rPr>
        <w:t>n recommandé </w:t>
      </w:r>
      <w:r w:rsidRPr="00F33074">
        <w:rPr>
          <w:i/>
          <w:iCs/>
          <w:lang w:val="fr-FR"/>
        </w:rPr>
        <w:t>:</w:t>
      </w:r>
    </w:p>
    <w:p w:rsidR="00FB1CC0" w:rsidRPr="00F33074" w:rsidRDefault="009B3A31" w:rsidP="00FB1CC0">
      <w:pPr>
        <w:numPr>
          <w:ilvl w:val="0"/>
          <w:numId w:val="4"/>
        </w:numPr>
        <w:spacing w:line="240" w:lineRule="auto"/>
        <w:rPr>
          <w:lang w:val="fr-FR"/>
        </w:rPr>
      </w:pPr>
      <w:r w:rsidRPr="00F33074">
        <w:rPr>
          <w:lang w:val="fr-FR"/>
        </w:rPr>
        <w:t>Une seule dose péridural</w:t>
      </w:r>
      <w:r w:rsidR="005C34B5">
        <w:rPr>
          <w:lang w:val="fr-FR"/>
        </w:rPr>
        <w:t>e</w:t>
      </w:r>
      <w:r w:rsidRPr="00F33074">
        <w:rPr>
          <w:lang w:val="fr-FR"/>
        </w:rPr>
        <w:t xml:space="preserve"> pour </w:t>
      </w:r>
      <w:r w:rsidR="00F10D3E" w:rsidRPr="00F33074">
        <w:rPr>
          <w:lang w:val="fr-FR"/>
        </w:rPr>
        <w:t>une analgésie</w:t>
      </w:r>
      <w:r w:rsidRPr="00F33074">
        <w:rPr>
          <w:lang w:val="fr-FR"/>
        </w:rPr>
        <w:t xml:space="preserve"> postopératoire </w:t>
      </w:r>
      <w:r w:rsidR="00FB1CC0" w:rsidRPr="00F33074">
        <w:rPr>
          <w:lang w:val="fr-FR"/>
        </w:rPr>
        <w:t>(grade A)</w:t>
      </w:r>
    </w:p>
    <w:p w:rsidR="00FB1CC0" w:rsidRPr="00F33074" w:rsidRDefault="009B3A31" w:rsidP="00FB1CC0">
      <w:pPr>
        <w:numPr>
          <w:ilvl w:val="0"/>
          <w:numId w:val="4"/>
        </w:numPr>
        <w:spacing w:line="240" w:lineRule="auto"/>
        <w:rPr>
          <w:lang w:val="fr-FR"/>
        </w:rPr>
      </w:pPr>
      <w:r w:rsidRPr="00F33074">
        <w:rPr>
          <w:lang w:val="fr-FR"/>
        </w:rPr>
        <w:t>Adé</w:t>
      </w:r>
      <w:r w:rsidR="00FB1CC0" w:rsidRPr="00F33074">
        <w:rPr>
          <w:lang w:val="fr-FR"/>
        </w:rPr>
        <w:t xml:space="preserve">nosine, </w:t>
      </w:r>
      <w:r w:rsidRPr="00F33074">
        <w:rPr>
          <w:lang w:val="fr-FR"/>
        </w:rPr>
        <w:t xml:space="preserve">antagonistes du récepteur </w:t>
      </w:r>
      <w:r w:rsidR="00F10D3E" w:rsidRPr="00F33074">
        <w:rPr>
          <w:lang w:val="fr-FR"/>
        </w:rPr>
        <w:t>NMDA,</w:t>
      </w:r>
      <w:r w:rsidRPr="00F33074">
        <w:rPr>
          <w:lang w:val="fr-FR"/>
        </w:rPr>
        <w:t xml:space="preserve"> benzodiazé</w:t>
      </w:r>
      <w:r w:rsidR="00FB1CC0" w:rsidRPr="00F33074">
        <w:rPr>
          <w:lang w:val="fr-FR"/>
        </w:rPr>
        <w:t>pines o</w:t>
      </w:r>
      <w:r w:rsidRPr="00F33074">
        <w:rPr>
          <w:lang w:val="fr-FR"/>
        </w:rPr>
        <w:t xml:space="preserve">u </w:t>
      </w:r>
      <w:r w:rsidR="00FB1CC0" w:rsidRPr="00F33074">
        <w:rPr>
          <w:lang w:val="fr-FR"/>
        </w:rPr>
        <w:t>tryptophan</w:t>
      </w:r>
      <w:r w:rsidRPr="00F33074">
        <w:rPr>
          <w:lang w:val="fr-FR"/>
        </w:rPr>
        <w:t>e</w:t>
      </w:r>
      <w:r w:rsidR="00FB1CC0" w:rsidRPr="00F33074">
        <w:rPr>
          <w:lang w:val="fr-FR"/>
        </w:rPr>
        <w:t xml:space="preserve"> (</w:t>
      </w:r>
      <w:r w:rsidRPr="00F33074">
        <w:rPr>
          <w:lang w:val="fr-FR"/>
        </w:rPr>
        <w:t>tous de</w:t>
      </w:r>
      <w:r w:rsidR="00FB1CC0" w:rsidRPr="00F33074">
        <w:rPr>
          <w:lang w:val="fr-FR"/>
        </w:rPr>
        <w:t xml:space="preserve"> grade A)</w:t>
      </w:r>
    </w:p>
    <w:p w:rsidR="00FB1CC0" w:rsidRPr="00F33074" w:rsidRDefault="009B3A31" w:rsidP="00FB1CC0">
      <w:pPr>
        <w:numPr>
          <w:ilvl w:val="0"/>
          <w:numId w:val="4"/>
        </w:numPr>
        <w:spacing w:line="240" w:lineRule="auto"/>
        <w:rPr>
          <w:lang w:val="fr-FR"/>
        </w:rPr>
      </w:pPr>
      <w:r w:rsidRPr="00F33074">
        <w:rPr>
          <w:lang w:val="fr-FR"/>
        </w:rPr>
        <w:t xml:space="preserve">Analgésie intrapéritonéale </w:t>
      </w:r>
      <w:r w:rsidR="00FB1CC0" w:rsidRPr="00F33074">
        <w:rPr>
          <w:lang w:val="fr-FR"/>
        </w:rPr>
        <w:t>(grade A)</w:t>
      </w:r>
    </w:p>
    <w:p w:rsidR="00FB1CC0" w:rsidRPr="00F33074" w:rsidRDefault="009B3A31" w:rsidP="00FB1CC0">
      <w:pPr>
        <w:numPr>
          <w:ilvl w:val="0"/>
          <w:numId w:val="4"/>
        </w:numPr>
        <w:spacing w:line="240" w:lineRule="auto"/>
        <w:rPr>
          <w:lang w:val="fr-FR"/>
        </w:rPr>
      </w:pPr>
      <w:r w:rsidRPr="00F33074">
        <w:rPr>
          <w:lang w:val="fr-FR"/>
        </w:rPr>
        <w:t>Péritoine non suturé</w:t>
      </w:r>
      <w:r w:rsidR="00FB1CC0" w:rsidRPr="00F33074">
        <w:rPr>
          <w:lang w:val="fr-FR"/>
        </w:rPr>
        <w:t xml:space="preserve">, </w:t>
      </w:r>
      <w:r w:rsidRPr="00F33074">
        <w:rPr>
          <w:lang w:val="fr-FR"/>
        </w:rPr>
        <w:t xml:space="preserve">pansement sous forme de film humide </w:t>
      </w:r>
      <w:r w:rsidR="00FB1CC0" w:rsidRPr="00F33074">
        <w:rPr>
          <w:lang w:val="fr-FR"/>
        </w:rPr>
        <w:t>(</w:t>
      </w:r>
      <w:r w:rsidRPr="00F33074">
        <w:rPr>
          <w:lang w:val="fr-FR"/>
        </w:rPr>
        <w:t xml:space="preserve">tous deux de grade A) ou drains chirurgicaux </w:t>
      </w:r>
      <w:r w:rsidR="00FB1CC0" w:rsidRPr="00F33074">
        <w:rPr>
          <w:lang w:val="fr-FR"/>
        </w:rPr>
        <w:t>(grade D)</w:t>
      </w:r>
    </w:p>
    <w:p w:rsidR="00FB1CC0" w:rsidRPr="00F33074" w:rsidRDefault="009B3A31" w:rsidP="00FB1CC0">
      <w:pPr>
        <w:numPr>
          <w:ilvl w:val="0"/>
          <w:numId w:val="4"/>
        </w:numPr>
        <w:spacing w:line="240" w:lineRule="auto"/>
        <w:rPr>
          <w:lang w:val="fr-FR"/>
        </w:rPr>
      </w:pPr>
      <w:r w:rsidRPr="00F33074">
        <w:rPr>
          <w:lang w:val="fr-FR"/>
        </w:rPr>
        <w:t>S</w:t>
      </w:r>
      <w:r w:rsidR="00FB1CC0" w:rsidRPr="00F33074">
        <w:rPr>
          <w:lang w:val="fr-FR"/>
        </w:rPr>
        <w:t xml:space="preserve">uggestions </w:t>
      </w:r>
      <w:r w:rsidRPr="00F33074">
        <w:rPr>
          <w:lang w:val="fr-FR"/>
        </w:rPr>
        <w:t>thérapeutiques ou é</w:t>
      </w:r>
      <w:r w:rsidR="00FB1CC0" w:rsidRPr="00F33074">
        <w:rPr>
          <w:lang w:val="fr-FR"/>
        </w:rPr>
        <w:t>lectro</w:t>
      </w:r>
      <w:r w:rsidRPr="00F33074">
        <w:rPr>
          <w:lang w:val="fr-FR"/>
        </w:rPr>
        <w:t>-</w:t>
      </w:r>
      <w:r w:rsidR="00FB1CC0" w:rsidRPr="00F33074">
        <w:rPr>
          <w:lang w:val="fr-FR"/>
        </w:rPr>
        <w:t>acupuncture (</w:t>
      </w:r>
      <w:r w:rsidRPr="00F33074">
        <w:rPr>
          <w:lang w:val="fr-FR"/>
        </w:rPr>
        <w:t>toutes deux</w:t>
      </w:r>
      <w:r w:rsidR="00FB1CC0" w:rsidRPr="00F33074">
        <w:rPr>
          <w:lang w:val="fr-FR"/>
        </w:rPr>
        <w:t xml:space="preserve"> </w:t>
      </w:r>
      <w:r w:rsidR="0035508C" w:rsidRPr="00F33074">
        <w:rPr>
          <w:lang w:val="fr-FR"/>
        </w:rPr>
        <w:t xml:space="preserve">de </w:t>
      </w:r>
      <w:r w:rsidR="00FB1CC0" w:rsidRPr="00F33074">
        <w:rPr>
          <w:lang w:val="fr-FR"/>
        </w:rPr>
        <w:t>grade A)</w:t>
      </w:r>
    </w:p>
    <w:p w:rsidR="00FB1CC0" w:rsidRPr="00F33074" w:rsidRDefault="00A00C61" w:rsidP="00FB1CC0">
      <w:pPr>
        <w:spacing w:line="240" w:lineRule="auto"/>
        <w:rPr>
          <w:lang w:val="fr-FR"/>
        </w:rPr>
      </w:pPr>
      <w:r w:rsidRPr="00F33074">
        <w:rPr>
          <w:b/>
          <w:bCs/>
          <w:i/>
          <w:iCs/>
          <w:lang w:val="fr-FR"/>
        </w:rPr>
        <w:t>Recommandation</w:t>
      </w:r>
      <w:r w:rsidR="000E3439">
        <w:rPr>
          <w:b/>
          <w:bCs/>
          <w:i/>
          <w:iCs/>
          <w:lang w:val="fr-FR"/>
        </w:rPr>
        <w:t>s</w:t>
      </w:r>
      <w:r w:rsidRPr="00F33074">
        <w:rPr>
          <w:b/>
          <w:bCs/>
          <w:i/>
          <w:iCs/>
          <w:lang w:val="fr-FR"/>
        </w:rPr>
        <w:t xml:space="preserve"> </w:t>
      </w:r>
      <w:r w:rsidRPr="00F33074">
        <w:rPr>
          <w:b/>
          <w:bCs/>
          <w:lang w:val="fr-FR"/>
        </w:rPr>
        <w:t>postopératoire</w:t>
      </w:r>
      <w:r w:rsidR="000E3439">
        <w:rPr>
          <w:b/>
          <w:bCs/>
          <w:lang w:val="fr-FR"/>
        </w:rPr>
        <w:t>s</w:t>
      </w:r>
      <w:r w:rsidRPr="00F33074">
        <w:rPr>
          <w:b/>
          <w:bCs/>
          <w:lang w:val="fr-FR"/>
        </w:rPr>
        <w:t> </w:t>
      </w:r>
      <w:r w:rsidR="00FB1CC0" w:rsidRPr="00F33074">
        <w:rPr>
          <w:b/>
          <w:bCs/>
          <w:i/>
          <w:iCs/>
          <w:lang w:val="fr-FR"/>
        </w:rPr>
        <w:t>:</w:t>
      </w:r>
    </w:p>
    <w:p w:rsidR="00FB1CC0" w:rsidRPr="00F33074" w:rsidRDefault="009A424C" w:rsidP="00FB1CC0">
      <w:pPr>
        <w:numPr>
          <w:ilvl w:val="0"/>
          <w:numId w:val="5"/>
        </w:numPr>
        <w:spacing w:line="240" w:lineRule="auto"/>
        <w:rPr>
          <w:lang w:val="fr-FR"/>
        </w:rPr>
      </w:pPr>
      <w:r w:rsidRPr="00F33074">
        <w:rPr>
          <w:b/>
          <w:bCs/>
          <w:lang w:val="fr-FR"/>
        </w:rPr>
        <w:t xml:space="preserve">Inhibiteurs sélectifs de </w:t>
      </w:r>
      <w:r w:rsidR="00FB1CC0" w:rsidRPr="00F33074">
        <w:rPr>
          <w:b/>
          <w:bCs/>
          <w:lang w:val="fr-FR"/>
        </w:rPr>
        <w:t xml:space="preserve">COX-2 </w:t>
      </w:r>
      <w:r w:rsidRPr="00F33074">
        <w:rPr>
          <w:b/>
          <w:bCs/>
          <w:lang w:val="fr-FR"/>
        </w:rPr>
        <w:t>ou AINS</w:t>
      </w:r>
      <w:r w:rsidR="00FB1CC0" w:rsidRPr="00F33074">
        <w:rPr>
          <w:b/>
          <w:bCs/>
          <w:lang w:val="fr-FR"/>
        </w:rPr>
        <w:t xml:space="preserve"> convention</w:t>
      </w:r>
      <w:r w:rsidRPr="00F33074">
        <w:rPr>
          <w:b/>
          <w:bCs/>
          <w:lang w:val="fr-FR"/>
        </w:rPr>
        <w:t>nels</w:t>
      </w:r>
      <w:r w:rsidR="00FB1CC0" w:rsidRPr="00F33074">
        <w:rPr>
          <w:b/>
          <w:bCs/>
          <w:lang w:val="fr-FR"/>
        </w:rPr>
        <w:t xml:space="preserve">, </w:t>
      </w:r>
      <w:r w:rsidRPr="00F33074">
        <w:rPr>
          <w:b/>
          <w:bCs/>
          <w:lang w:val="fr-FR"/>
        </w:rPr>
        <w:t>e</w:t>
      </w:r>
      <w:r w:rsidR="00FB1CC0" w:rsidRPr="00F33074">
        <w:rPr>
          <w:b/>
          <w:bCs/>
          <w:lang w:val="fr-FR"/>
        </w:rPr>
        <w:t>n combina</w:t>
      </w:r>
      <w:r w:rsidRPr="00F33074">
        <w:rPr>
          <w:b/>
          <w:bCs/>
          <w:lang w:val="fr-FR"/>
        </w:rPr>
        <w:t>ison avec des</w:t>
      </w:r>
      <w:r w:rsidR="00FB1CC0" w:rsidRPr="00F33074">
        <w:rPr>
          <w:b/>
          <w:bCs/>
          <w:lang w:val="fr-FR"/>
        </w:rPr>
        <w:t xml:space="preserve"> opio</w:t>
      </w:r>
      <w:r w:rsidRPr="00F33074">
        <w:rPr>
          <w:b/>
          <w:bCs/>
          <w:lang w:val="fr-FR"/>
        </w:rPr>
        <w:t>ï</w:t>
      </w:r>
      <w:r w:rsidR="00FB1CC0" w:rsidRPr="00F33074">
        <w:rPr>
          <w:b/>
          <w:bCs/>
          <w:lang w:val="fr-FR"/>
        </w:rPr>
        <w:t>d</w:t>
      </w:r>
      <w:r w:rsidRPr="00F33074">
        <w:rPr>
          <w:b/>
          <w:bCs/>
          <w:lang w:val="fr-FR"/>
        </w:rPr>
        <w:t>e</w:t>
      </w:r>
      <w:r w:rsidR="00FB1CC0" w:rsidRPr="00F33074">
        <w:rPr>
          <w:b/>
          <w:bCs/>
          <w:lang w:val="fr-FR"/>
        </w:rPr>
        <w:t>s</w:t>
      </w:r>
      <w:r w:rsidRPr="00F33074">
        <w:rPr>
          <w:b/>
          <w:bCs/>
          <w:lang w:val="fr-FR"/>
        </w:rPr>
        <w:t xml:space="preserve"> forts pour une douleur d’in</w:t>
      </w:r>
      <w:r w:rsidR="00FB1CC0" w:rsidRPr="00F33074">
        <w:rPr>
          <w:b/>
          <w:bCs/>
          <w:lang w:val="fr-FR"/>
        </w:rPr>
        <w:t>tensit</w:t>
      </w:r>
      <w:r w:rsidRPr="00F33074">
        <w:rPr>
          <w:b/>
          <w:bCs/>
          <w:lang w:val="fr-FR"/>
        </w:rPr>
        <w:t xml:space="preserve">é élevée </w:t>
      </w:r>
      <w:r w:rsidR="00FB1CC0" w:rsidRPr="00F33074">
        <w:rPr>
          <w:b/>
          <w:bCs/>
          <w:lang w:val="fr-FR"/>
        </w:rPr>
        <w:t xml:space="preserve">(VAS=50) </w:t>
      </w:r>
      <w:r w:rsidRPr="00F33074">
        <w:rPr>
          <w:b/>
          <w:bCs/>
          <w:lang w:val="fr-FR"/>
        </w:rPr>
        <w:t>ou avec des opioïdes faibles pour une douleur d’intensité</w:t>
      </w:r>
      <w:r w:rsidR="00FB1CC0" w:rsidRPr="00F33074">
        <w:rPr>
          <w:b/>
          <w:bCs/>
          <w:lang w:val="fr-FR"/>
        </w:rPr>
        <w:t xml:space="preserve"> mod</w:t>
      </w:r>
      <w:r w:rsidRPr="00F33074">
        <w:rPr>
          <w:b/>
          <w:bCs/>
          <w:lang w:val="fr-FR"/>
        </w:rPr>
        <w:t>érée</w:t>
      </w:r>
      <w:r w:rsidR="00FB1CC0" w:rsidRPr="00F33074">
        <w:rPr>
          <w:b/>
          <w:bCs/>
          <w:lang w:val="fr-FR"/>
        </w:rPr>
        <w:t xml:space="preserve"> (VAS&lt;50&gt;30) </w:t>
      </w:r>
      <w:r w:rsidRPr="00F33074">
        <w:rPr>
          <w:b/>
          <w:bCs/>
          <w:lang w:val="fr-FR"/>
        </w:rPr>
        <w:t>ou faible</w:t>
      </w:r>
      <w:r w:rsidR="00FB1CC0" w:rsidRPr="00F33074">
        <w:rPr>
          <w:b/>
          <w:bCs/>
          <w:lang w:val="fr-FR"/>
        </w:rPr>
        <w:t xml:space="preserve"> (VAS=30) (grade A) </w:t>
      </w:r>
    </w:p>
    <w:p w:rsidR="00FB1CC0" w:rsidRPr="00F33074" w:rsidRDefault="00102D10" w:rsidP="00FB1CC0">
      <w:pPr>
        <w:numPr>
          <w:ilvl w:val="0"/>
          <w:numId w:val="5"/>
        </w:numPr>
        <w:spacing w:line="240" w:lineRule="auto"/>
        <w:rPr>
          <w:lang w:val="fr-FR"/>
        </w:rPr>
      </w:pPr>
      <w:r w:rsidRPr="00F33074">
        <w:rPr>
          <w:b/>
          <w:bCs/>
          <w:lang w:val="fr-FR"/>
        </w:rPr>
        <w:t>Opioïdes forts par</w:t>
      </w:r>
      <w:r w:rsidR="00FB1CC0" w:rsidRPr="00F33074">
        <w:rPr>
          <w:b/>
          <w:bCs/>
          <w:lang w:val="fr-FR"/>
        </w:rPr>
        <w:t xml:space="preserve"> </w:t>
      </w:r>
      <w:r w:rsidRPr="00F33074">
        <w:rPr>
          <w:b/>
          <w:bCs/>
          <w:lang w:val="fr-FR"/>
        </w:rPr>
        <w:t>ACP</w:t>
      </w:r>
      <w:r w:rsidR="00FB1CC0" w:rsidRPr="00F33074">
        <w:rPr>
          <w:b/>
          <w:bCs/>
          <w:lang w:val="fr-FR"/>
        </w:rPr>
        <w:t xml:space="preserve"> </w:t>
      </w:r>
      <w:r w:rsidRPr="00F33074">
        <w:rPr>
          <w:b/>
          <w:bCs/>
          <w:lang w:val="fr-FR"/>
        </w:rPr>
        <w:t>IV ou par dosage</w:t>
      </w:r>
      <w:r w:rsidR="00FB1CC0" w:rsidRPr="00F33074">
        <w:rPr>
          <w:b/>
          <w:bCs/>
          <w:lang w:val="fr-FR"/>
        </w:rPr>
        <w:t xml:space="preserve"> IV </w:t>
      </w:r>
      <w:r w:rsidRPr="00F33074">
        <w:rPr>
          <w:b/>
          <w:bCs/>
          <w:lang w:val="fr-FR"/>
        </w:rPr>
        <w:t>fixe</w:t>
      </w:r>
      <w:r w:rsidR="004E69FE" w:rsidRPr="00F33074">
        <w:rPr>
          <w:b/>
          <w:bCs/>
          <w:lang w:val="fr-FR"/>
        </w:rPr>
        <w:t>,</w:t>
      </w:r>
      <w:r w:rsidR="00FB1CC0" w:rsidRPr="00F33074">
        <w:rPr>
          <w:b/>
          <w:bCs/>
          <w:lang w:val="fr-FR"/>
        </w:rPr>
        <w:t xml:space="preserve"> </w:t>
      </w:r>
      <w:r w:rsidRPr="00F33074">
        <w:rPr>
          <w:b/>
          <w:bCs/>
          <w:lang w:val="fr-FR"/>
        </w:rPr>
        <w:t>titré selon l’</w:t>
      </w:r>
      <w:r w:rsidR="00FB1CC0" w:rsidRPr="00F33074">
        <w:rPr>
          <w:b/>
          <w:bCs/>
          <w:lang w:val="fr-FR"/>
        </w:rPr>
        <w:t>intensit</w:t>
      </w:r>
      <w:r w:rsidRPr="00F33074">
        <w:rPr>
          <w:b/>
          <w:bCs/>
          <w:lang w:val="fr-FR"/>
        </w:rPr>
        <w:t>é de la douleur</w:t>
      </w:r>
      <w:r w:rsidR="00FB1CC0" w:rsidRPr="00F33074">
        <w:rPr>
          <w:b/>
          <w:bCs/>
          <w:lang w:val="fr-FR"/>
        </w:rPr>
        <w:t xml:space="preserve"> (grade A) </w:t>
      </w:r>
    </w:p>
    <w:p w:rsidR="00FB1CC0" w:rsidRPr="00F33074" w:rsidRDefault="00FB1CC0" w:rsidP="00FB1CC0">
      <w:pPr>
        <w:numPr>
          <w:ilvl w:val="0"/>
          <w:numId w:val="5"/>
        </w:numPr>
        <w:spacing w:line="240" w:lineRule="auto"/>
        <w:rPr>
          <w:lang w:val="fr-FR"/>
        </w:rPr>
      </w:pPr>
      <w:r w:rsidRPr="00F33074">
        <w:rPr>
          <w:b/>
          <w:bCs/>
          <w:lang w:val="fr-FR"/>
        </w:rPr>
        <w:t>Parac</w:t>
      </w:r>
      <w:r w:rsidR="00102D10" w:rsidRPr="00F33074">
        <w:rPr>
          <w:b/>
          <w:bCs/>
          <w:lang w:val="fr-FR"/>
        </w:rPr>
        <w:t>é</w:t>
      </w:r>
      <w:r w:rsidRPr="00F33074">
        <w:rPr>
          <w:b/>
          <w:bCs/>
          <w:lang w:val="fr-FR"/>
        </w:rPr>
        <w:t>tamol</w:t>
      </w:r>
      <w:r w:rsidR="00102D10" w:rsidRPr="00F33074">
        <w:rPr>
          <w:b/>
          <w:bCs/>
          <w:lang w:val="fr-FR"/>
        </w:rPr>
        <w:t xml:space="preserve"> pour une douleur d’intensité </w:t>
      </w:r>
      <w:r w:rsidRPr="00F33074">
        <w:rPr>
          <w:b/>
          <w:bCs/>
          <w:lang w:val="fr-FR"/>
        </w:rPr>
        <w:t>mod</w:t>
      </w:r>
      <w:r w:rsidR="00102D10" w:rsidRPr="00F33074">
        <w:rPr>
          <w:b/>
          <w:bCs/>
          <w:lang w:val="fr-FR"/>
        </w:rPr>
        <w:t>érée</w:t>
      </w:r>
      <w:r w:rsidRPr="00F33074">
        <w:rPr>
          <w:b/>
          <w:bCs/>
          <w:lang w:val="fr-FR"/>
        </w:rPr>
        <w:t xml:space="preserve"> (VAS&gt;30&lt;50) </w:t>
      </w:r>
      <w:r w:rsidR="00102D10" w:rsidRPr="00F33074">
        <w:rPr>
          <w:b/>
          <w:bCs/>
          <w:lang w:val="fr-FR"/>
        </w:rPr>
        <w:t>ou faible</w:t>
      </w:r>
      <w:r w:rsidRPr="00F33074">
        <w:rPr>
          <w:b/>
          <w:bCs/>
          <w:lang w:val="fr-FR"/>
        </w:rPr>
        <w:t xml:space="preserve"> (VAS=30), </w:t>
      </w:r>
      <w:r w:rsidR="00102D10" w:rsidRPr="00F33074">
        <w:rPr>
          <w:b/>
          <w:bCs/>
          <w:lang w:val="fr-FR"/>
        </w:rPr>
        <w:t>e</w:t>
      </w:r>
      <w:r w:rsidRPr="00F33074">
        <w:rPr>
          <w:b/>
          <w:bCs/>
          <w:lang w:val="fr-FR"/>
        </w:rPr>
        <w:t>n combina</w:t>
      </w:r>
      <w:r w:rsidR="00102D10" w:rsidRPr="00F33074">
        <w:rPr>
          <w:b/>
          <w:bCs/>
          <w:lang w:val="fr-FR"/>
        </w:rPr>
        <w:t>ison avec</w:t>
      </w:r>
      <w:r w:rsidRPr="00F33074">
        <w:rPr>
          <w:b/>
          <w:bCs/>
          <w:lang w:val="fr-FR"/>
        </w:rPr>
        <w:t xml:space="preserve"> </w:t>
      </w:r>
      <w:r w:rsidR="00102D10" w:rsidRPr="00F33074">
        <w:rPr>
          <w:b/>
          <w:bCs/>
          <w:lang w:val="fr-FR"/>
        </w:rPr>
        <w:t xml:space="preserve">inhibiteurs de </w:t>
      </w:r>
      <w:r w:rsidRPr="00F33074">
        <w:rPr>
          <w:b/>
          <w:bCs/>
          <w:lang w:val="fr-FR"/>
        </w:rPr>
        <w:t xml:space="preserve">COX-2 </w:t>
      </w:r>
      <w:r w:rsidR="00102D10" w:rsidRPr="00F33074">
        <w:rPr>
          <w:b/>
          <w:bCs/>
          <w:lang w:val="fr-FR"/>
        </w:rPr>
        <w:t>ou des AINS</w:t>
      </w:r>
      <w:r w:rsidRPr="00F33074">
        <w:rPr>
          <w:b/>
          <w:bCs/>
          <w:lang w:val="fr-FR"/>
        </w:rPr>
        <w:t xml:space="preserve"> convention</w:t>
      </w:r>
      <w:r w:rsidR="00102D10" w:rsidRPr="00F33074">
        <w:rPr>
          <w:b/>
          <w:bCs/>
          <w:lang w:val="fr-FR"/>
        </w:rPr>
        <w:t xml:space="preserve">nels </w:t>
      </w:r>
      <w:r w:rsidRPr="00F33074">
        <w:rPr>
          <w:b/>
          <w:bCs/>
          <w:lang w:val="fr-FR"/>
        </w:rPr>
        <w:t xml:space="preserve">(grade A) </w:t>
      </w:r>
    </w:p>
    <w:p w:rsidR="00FB1CC0" w:rsidRPr="00F33074" w:rsidRDefault="007A3BDF" w:rsidP="00FB1CC0">
      <w:pPr>
        <w:numPr>
          <w:ilvl w:val="0"/>
          <w:numId w:val="5"/>
        </w:numPr>
        <w:spacing w:line="240" w:lineRule="auto"/>
        <w:rPr>
          <w:lang w:val="fr-FR"/>
        </w:rPr>
      </w:pPr>
      <w:r w:rsidRPr="00F33074">
        <w:rPr>
          <w:b/>
          <w:bCs/>
          <w:lang w:val="fr-FR"/>
        </w:rPr>
        <w:t>Analgésie péri</w:t>
      </w:r>
      <w:r w:rsidR="00FB1CC0" w:rsidRPr="00F33074">
        <w:rPr>
          <w:b/>
          <w:bCs/>
          <w:lang w:val="fr-FR"/>
        </w:rPr>
        <w:t>dural</w:t>
      </w:r>
      <w:r w:rsidRPr="00F33074">
        <w:rPr>
          <w:b/>
          <w:bCs/>
          <w:lang w:val="fr-FR"/>
        </w:rPr>
        <w:t>e</w:t>
      </w:r>
      <w:r w:rsidR="00FB1CC0" w:rsidRPr="00F33074">
        <w:rPr>
          <w:b/>
          <w:bCs/>
          <w:lang w:val="fr-FR"/>
        </w:rPr>
        <w:t xml:space="preserve"> </w:t>
      </w:r>
      <w:r w:rsidRPr="00F33074">
        <w:rPr>
          <w:b/>
          <w:bCs/>
          <w:lang w:val="fr-FR"/>
        </w:rPr>
        <w:t xml:space="preserve">chez les </w:t>
      </w:r>
      <w:r w:rsidR="00FB1CC0" w:rsidRPr="00F33074">
        <w:rPr>
          <w:b/>
          <w:bCs/>
          <w:lang w:val="fr-FR"/>
        </w:rPr>
        <w:t>patient</w:t>
      </w:r>
      <w:r w:rsidRPr="00F33074">
        <w:rPr>
          <w:b/>
          <w:bCs/>
          <w:lang w:val="fr-FR"/>
        </w:rPr>
        <w:t>e</w:t>
      </w:r>
      <w:r w:rsidR="00FB1CC0" w:rsidRPr="00F33074">
        <w:rPr>
          <w:b/>
          <w:bCs/>
          <w:lang w:val="fr-FR"/>
        </w:rPr>
        <w:t>s</w:t>
      </w:r>
      <w:r w:rsidRPr="00F33074">
        <w:rPr>
          <w:b/>
          <w:bCs/>
          <w:lang w:val="fr-FR"/>
        </w:rPr>
        <w:t xml:space="preserve"> à haut risque</w:t>
      </w:r>
      <w:r w:rsidR="00FB1CC0" w:rsidRPr="00F33074">
        <w:rPr>
          <w:b/>
          <w:bCs/>
          <w:lang w:val="fr-FR"/>
        </w:rPr>
        <w:t xml:space="preserve"> (grade A </w:t>
      </w:r>
      <w:r w:rsidRPr="00F33074">
        <w:rPr>
          <w:b/>
          <w:bCs/>
          <w:lang w:val="fr-FR"/>
        </w:rPr>
        <w:t>et</w:t>
      </w:r>
      <w:r w:rsidR="00FB1CC0" w:rsidRPr="00F33074">
        <w:rPr>
          <w:b/>
          <w:bCs/>
          <w:lang w:val="fr-FR"/>
        </w:rPr>
        <w:t xml:space="preserve"> D)</w:t>
      </w:r>
    </w:p>
    <w:p w:rsidR="00FB1CC0" w:rsidRPr="00F33074" w:rsidRDefault="00A00C61" w:rsidP="00FB1CC0">
      <w:pPr>
        <w:spacing w:line="240" w:lineRule="auto"/>
        <w:rPr>
          <w:lang w:val="fr-FR"/>
        </w:rPr>
      </w:pPr>
      <w:r w:rsidRPr="00F33074">
        <w:rPr>
          <w:i/>
          <w:iCs/>
          <w:lang w:val="fr-FR"/>
        </w:rPr>
        <w:t>Non recommandé </w:t>
      </w:r>
      <w:r w:rsidR="00FB1CC0" w:rsidRPr="00F33074">
        <w:rPr>
          <w:i/>
          <w:iCs/>
          <w:lang w:val="fr-FR"/>
        </w:rPr>
        <w:t>:</w:t>
      </w:r>
    </w:p>
    <w:p w:rsidR="00FB1CC0" w:rsidRPr="00F33074" w:rsidRDefault="00E03944" w:rsidP="00FB1CC0">
      <w:pPr>
        <w:numPr>
          <w:ilvl w:val="0"/>
          <w:numId w:val="6"/>
        </w:numPr>
        <w:spacing w:line="240" w:lineRule="auto"/>
        <w:rPr>
          <w:lang w:val="fr-FR"/>
        </w:rPr>
      </w:pPr>
      <w:r w:rsidRPr="00F33074">
        <w:rPr>
          <w:lang w:val="fr-FR"/>
        </w:rPr>
        <w:t xml:space="preserve">Analgésie péridurale pour une utilisation courante chez les </w:t>
      </w:r>
      <w:r w:rsidR="00FB1CC0" w:rsidRPr="00F33074">
        <w:rPr>
          <w:lang w:val="fr-FR"/>
        </w:rPr>
        <w:t>patient</w:t>
      </w:r>
      <w:r w:rsidRPr="00F33074">
        <w:rPr>
          <w:lang w:val="fr-FR"/>
        </w:rPr>
        <w:t>e</w:t>
      </w:r>
      <w:r w:rsidR="00FB1CC0" w:rsidRPr="00F33074">
        <w:rPr>
          <w:lang w:val="fr-FR"/>
        </w:rPr>
        <w:t>s</w:t>
      </w:r>
      <w:r w:rsidRPr="00F33074">
        <w:rPr>
          <w:lang w:val="fr-FR"/>
        </w:rPr>
        <w:t xml:space="preserve"> à faible risque</w:t>
      </w:r>
      <w:r w:rsidR="00FB1CC0" w:rsidRPr="00F33074">
        <w:rPr>
          <w:lang w:val="fr-FR"/>
        </w:rPr>
        <w:t xml:space="preserve"> (grade D)</w:t>
      </w:r>
    </w:p>
    <w:p w:rsidR="00FB1CC0" w:rsidRPr="00F33074" w:rsidRDefault="005046D3" w:rsidP="00FB1CC0">
      <w:pPr>
        <w:numPr>
          <w:ilvl w:val="0"/>
          <w:numId w:val="6"/>
        </w:numPr>
        <w:spacing w:line="240" w:lineRule="auto"/>
        <w:rPr>
          <w:lang w:val="fr-FR"/>
        </w:rPr>
      </w:pPr>
      <w:r w:rsidRPr="00F33074">
        <w:rPr>
          <w:lang w:val="fr-FR"/>
        </w:rPr>
        <w:t xml:space="preserve">Bolus rachidiens répétés </w:t>
      </w:r>
      <w:r w:rsidR="004E69FE" w:rsidRPr="00F33074">
        <w:rPr>
          <w:lang w:val="fr-FR"/>
        </w:rPr>
        <w:t>d’</w:t>
      </w:r>
      <w:r w:rsidR="00FB1CC0" w:rsidRPr="00F33074">
        <w:rPr>
          <w:lang w:val="fr-FR"/>
        </w:rPr>
        <w:t>analg</w:t>
      </w:r>
      <w:r w:rsidR="004E69FE" w:rsidRPr="00F33074">
        <w:rPr>
          <w:lang w:val="fr-FR"/>
        </w:rPr>
        <w:t>é</w:t>
      </w:r>
      <w:r w:rsidR="00FB1CC0" w:rsidRPr="00F33074">
        <w:rPr>
          <w:lang w:val="fr-FR"/>
        </w:rPr>
        <w:t>si</w:t>
      </w:r>
      <w:r w:rsidR="004E69FE" w:rsidRPr="00F33074">
        <w:rPr>
          <w:lang w:val="fr-FR"/>
        </w:rPr>
        <w:t>ques</w:t>
      </w:r>
      <w:r w:rsidR="00FB1CC0" w:rsidRPr="00F33074">
        <w:rPr>
          <w:lang w:val="fr-FR"/>
        </w:rPr>
        <w:t xml:space="preserve"> (grade D)</w:t>
      </w:r>
    </w:p>
    <w:p w:rsidR="00FB1CC0" w:rsidRPr="00F33074" w:rsidRDefault="004E69FE" w:rsidP="00FB1CC0">
      <w:pPr>
        <w:numPr>
          <w:ilvl w:val="0"/>
          <w:numId w:val="6"/>
        </w:numPr>
        <w:spacing w:line="240" w:lineRule="auto"/>
        <w:rPr>
          <w:lang w:val="fr-FR"/>
        </w:rPr>
      </w:pPr>
      <w:r w:rsidRPr="00F33074">
        <w:rPr>
          <w:lang w:val="fr-FR"/>
        </w:rPr>
        <w:t>A</w:t>
      </w:r>
      <w:r w:rsidR="00FB1CC0" w:rsidRPr="00F33074">
        <w:rPr>
          <w:lang w:val="fr-FR"/>
        </w:rPr>
        <w:t>dministration</w:t>
      </w:r>
      <w:r w:rsidRPr="00F33074">
        <w:rPr>
          <w:lang w:val="fr-FR"/>
        </w:rPr>
        <w:t xml:space="preserve"> concomitante d’inhibiteurs sélectifs de</w:t>
      </w:r>
      <w:r w:rsidR="00FB1CC0" w:rsidRPr="00F33074">
        <w:rPr>
          <w:lang w:val="fr-FR"/>
        </w:rPr>
        <w:t xml:space="preserve"> COX-2 </w:t>
      </w:r>
      <w:r w:rsidRPr="00F33074">
        <w:rPr>
          <w:lang w:val="fr-FR"/>
        </w:rPr>
        <w:t>ou d’AINS</w:t>
      </w:r>
      <w:r w:rsidR="00FB1CC0" w:rsidRPr="00F33074">
        <w:rPr>
          <w:lang w:val="fr-FR"/>
        </w:rPr>
        <w:t xml:space="preserve"> convention</w:t>
      </w:r>
      <w:r w:rsidRPr="00F33074">
        <w:rPr>
          <w:lang w:val="fr-FR"/>
        </w:rPr>
        <w:t>nels avec</w:t>
      </w:r>
      <w:r w:rsidR="00FB1CC0" w:rsidRPr="00F33074">
        <w:rPr>
          <w:lang w:val="fr-FR"/>
        </w:rPr>
        <w:t xml:space="preserve"> analg</w:t>
      </w:r>
      <w:r w:rsidRPr="00F33074">
        <w:rPr>
          <w:lang w:val="fr-FR"/>
        </w:rPr>
        <w:t>é</w:t>
      </w:r>
      <w:r w:rsidR="00FB1CC0" w:rsidRPr="00F33074">
        <w:rPr>
          <w:lang w:val="fr-FR"/>
        </w:rPr>
        <w:t>si</w:t>
      </w:r>
      <w:r w:rsidRPr="00F33074">
        <w:rPr>
          <w:lang w:val="fr-FR"/>
        </w:rPr>
        <w:t>e péridurale</w:t>
      </w:r>
      <w:r w:rsidR="00FB1CC0" w:rsidRPr="00F33074">
        <w:rPr>
          <w:lang w:val="fr-FR"/>
        </w:rPr>
        <w:t xml:space="preserve"> (grade B)</w:t>
      </w:r>
    </w:p>
    <w:p w:rsidR="00FB1CC0" w:rsidRPr="00F33074" w:rsidRDefault="004E69FE" w:rsidP="00FB1CC0">
      <w:pPr>
        <w:numPr>
          <w:ilvl w:val="0"/>
          <w:numId w:val="6"/>
        </w:numPr>
        <w:spacing w:line="240" w:lineRule="auto"/>
        <w:rPr>
          <w:lang w:val="fr-FR"/>
        </w:rPr>
      </w:pPr>
      <w:r w:rsidRPr="00F33074">
        <w:rPr>
          <w:lang w:val="fr-FR"/>
        </w:rPr>
        <w:t>Infusion</w:t>
      </w:r>
      <w:r w:rsidR="00FB1CC0" w:rsidRPr="00F33074">
        <w:rPr>
          <w:lang w:val="fr-FR"/>
        </w:rPr>
        <w:t xml:space="preserve"> </w:t>
      </w:r>
      <w:r w:rsidRPr="00F33074">
        <w:rPr>
          <w:lang w:val="fr-FR"/>
        </w:rPr>
        <w:t>continue d’opioïdes forts durant le dosage du bolus</w:t>
      </w:r>
      <w:r w:rsidR="00FB1CC0" w:rsidRPr="00F33074">
        <w:rPr>
          <w:lang w:val="fr-FR"/>
        </w:rPr>
        <w:t xml:space="preserve"> </w:t>
      </w:r>
      <w:r w:rsidR="007C4EBC" w:rsidRPr="00F33074">
        <w:rPr>
          <w:lang w:val="fr-FR"/>
        </w:rPr>
        <w:t>ACP</w:t>
      </w:r>
      <w:r w:rsidR="00FB1CC0" w:rsidRPr="00F33074">
        <w:rPr>
          <w:lang w:val="fr-FR"/>
        </w:rPr>
        <w:t xml:space="preserve"> (grade D)</w:t>
      </w:r>
    </w:p>
    <w:p w:rsidR="00FB1CC0" w:rsidRPr="00F33074" w:rsidRDefault="004E69FE" w:rsidP="00FB1CC0">
      <w:pPr>
        <w:numPr>
          <w:ilvl w:val="0"/>
          <w:numId w:val="6"/>
        </w:numPr>
        <w:spacing w:line="240" w:lineRule="auto"/>
        <w:rPr>
          <w:lang w:val="fr-FR"/>
        </w:rPr>
      </w:pPr>
      <w:r w:rsidRPr="00F33074">
        <w:rPr>
          <w:lang w:val="fr-FR"/>
        </w:rPr>
        <w:t>A</w:t>
      </w:r>
      <w:r w:rsidR="00FB1CC0" w:rsidRPr="00F33074">
        <w:rPr>
          <w:lang w:val="fr-FR"/>
        </w:rPr>
        <w:t xml:space="preserve">dministration </w:t>
      </w:r>
      <w:r w:rsidRPr="00F33074">
        <w:rPr>
          <w:lang w:val="fr-FR"/>
        </w:rPr>
        <w:t xml:space="preserve">IM d’opioïdes forts </w:t>
      </w:r>
      <w:r w:rsidR="00FB1CC0" w:rsidRPr="00F33074">
        <w:rPr>
          <w:lang w:val="fr-FR"/>
        </w:rPr>
        <w:t>(grade D)</w:t>
      </w:r>
    </w:p>
    <w:p w:rsidR="00FB1CC0" w:rsidRPr="00F33074" w:rsidRDefault="0035508C" w:rsidP="00FB1CC0">
      <w:pPr>
        <w:numPr>
          <w:ilvl w:val="0"/>
          <w:numId w:val="6"/>
        </w:numPr>
        <w:spacing w:line="240" w:lineRule="auto"/>
        <w:rPr>
          <w:lang w:val="fr-FR"/>
        </w:rPr>
      </w:pPr>
      <w:r w:rsidRPr="00F33074">
        <w:rPr>
          <w:lang w:val="fr-FR"/>
        </w:rPr>
        <w:t>Administration i</w:t>
      </w:r>
      <w:r w:rsidR="00FB1CC0" w:rsidRPr="00F33074">
        <w:rPr>
          <w:lang w:val="fr-FR"/>
        </w:rPr>
        <w:t>ntranasal</w:t>
      </w:r>
      <w:r w:rsidRPr="00F33074">
        <w:rPr>
          <w:lang w:val="fr-FR"/>
        </w:rPr>
        <w:t>e</w:t>
      </w:r>
      <w:r w:rsidR="00FB1CC0" w:rsidRPr="00F33074">
        <w:rPr>
          <w:lang w:val="fr-FR"/>
        </w:rPr>
        <w:t>, oral</w:t>
      </w:r>
      <w:r w:rsidRPr="00F33074">
        <w:rPr>
          <w:lang w:val="fr-FR"/>
        </w:rPr>
        <w:t xml:space="preserve">e et patches </w:t>
      </w:r>
      <w:r w:rsidR="00FB1CC0" w:rsidRPr="00F33074">
        <w:rPr>
          <w:lang w:val="fr-FR"/>
        </w:rPr>
        <w:t>transderm</w:t>
      </w:r>
      <w:r w:rsidRPr="00F33074">
        <w:rPr>
          <w:lang w:val="fr-FR"/>
        </w:rPr>
        <w:t>iques à libération lente</w:t>
      </w:r>
      <w:r w:rsidR="00FB1CC0" w:rsidRPr="00F33074">
        <w:rPr>
          <w:lang w:val="fr-FR"/>
        </w:rPr>
        <w:t xml:space="preserve"> </w:t>
      </w:r>
      <w:r w:rsidRPr="00F33074">
        <w:rPr>
          <w:lang w:val="fr-FR"/>
        </w:rPr>
        <w:t xml:space="preserve">d’opioïdes forts </w:t>
      </w:r>
      <w:r w:rsidR="00FB1CC0" w:rsidRPr="00F33074">
        <w:rPr>
          <w:lang w:val="fr-FR"/>
        </w:rPr>
        <w:t>(grade D)</w:t>
      </w:r>
    </w:p>
    <w:p w:rsidR="00FB1CC0" w:rsidRPr="00F33074" w:rsidRDefault="00FB1CC0" w:rsidP="00FB1CC0">
      <w:pPr>
        <w:numPr>
          <w:ilvl w:val="0"/>
          <w:numId w:val="6"/>
        </w:numPr>
        <w:spacing w:line="240" w:lineRule="auto"/>
        <w:rPr>
          <w:lang w:val="fr-FR"/>
        </w:rPr>
      </w:pPr>
      <w:r w:rsidRPr="00F33074">
        <w:rPr>
          <w:lang w:val="fr-FR"/>
        </w:rPr>
        <w:t>Parac</w:t>
      </w:r>
      <w:r w:rsidR="00D215A8" w:rsidRPr="00F33074">
        <w:rPr>
          <w:lang w:val="fr-FR"/>
        </w:rPr>
        <w:t>é</w:t>
      </w:r>
      <w:r w:rsidRPr="00F33074">
        <w:rPr>
          <w:lang w:val="fr-FR"/>
        </w:rPr>
        <w:t xml:space="preserve">tamol </w:t>
      </w:r>
      <w:r w:rsidR="00D215A8" w:rsidRPr="00F33074">
        <w:rPr>
          <w:lang w:val="fr-FR"/>
        </w:rPr>
        <w:t>pour une douleur d’</w:t>
      </w:r>
      <w:r w:rsidRPr="00F33074">
        <w:rPr>
          <w:lang w:val="fr-FR"/>
        </w:rPr>
        <w:t>intensit</w:t>
      </w:r>
      <w:r w:rsidR="00D215A8" w:rsidRPr="00F33074">
        <w:rPr>
          <w:lang w:val="fr-FR"/>
        </w:rPr>
        <w:t xml:space="preserve">é élevée </w:t>
      </w:r>
      <w:r w:rsidRPr="00F33074">
        <w:rPr>
          <w:lang w:val="fr-FR"/>
        </w:rPr>
        <w:t>(VAS=50 mm) (grade B)</w:t>
      </w:r>
    </w:p>
    <w:p w:rsidR="00FB1CC0" w:rsidRPr="00F33074" w:rsidRDefault="00D215A8" w:rsidP="00FB1CC0">
      <w:pPr>
        <w:numPr>
          <w:ilvl w:val="0"/>
          <w:numId w:val="6"/>
        </w:numPr>
        <w:spacing w:line="240" w:lineRule="auto"/>
        <w:rPr>
          <w:lang w:val="fr-FR"/>
        </w:rPr>
      </w:pPr>
      <w:r w:rsidRPr="00F33074">
        <w:rPr>
          <w:lang w:val="fr-FR"/>
        </w:rPr>
        <w:t xml:space="preserve">Antagonistes du récepteur </w:t>
      </w:r>
      <w:r w:rsidR="00FB1CC0" w:rsidRPr="00F33074">
        <w:rPr>
          <w:lang w:val="fr-FR"/>
        </w:rPr>
        <w:t>NMDA</w:t>
      </w:r>
      <w:r w:rsidRPr="00F33074">
        <w:rPr>
          <w:lang w:val="fr-FR"/>
        </w:rPr>
        <w:t xml:space="preserve"> et</w:t>
      </w:r>
      <w:r w:rsidR="00FB1CC0" w:rsidRPr="00F33074">
        <w:rPr>
          <w:lang w:val="fr-FR"/>
        </w:rPr>
        <w:t xml:space="preserve"> benzodiaz</w:t>
      </w:r>
      <w:r w:rsidRPr="00F33074">
        <w:rPr>
          <w:lang w:val="fr-FR"/>
        </w:rPr>
        <w:t>é</w:t>
      </w:r>
      <w:r w:rsidR="00FB1CC0" w:rsidRPr="00F33074">
        <w:rPr>
          <w:lang w:val="fr-FR"/>
        </w:rPr>
        <w:t>pines (</w:t>
      </w:r>
      <w:r w:rsidRPr="00F33074">
        <w:rPr>
          <w:lang w:val="fr-FR"/>
        </w:rPr>
        <w:t>tous deux</w:t>
      </w:r>
      <w:r w:rsidR="00FB1CC0" w:rsidRPr="00F33074">
        <w:rPr>
          <w:lang w:val="fr-FR"/>
        </w:rPr>
        <w:t xml:space="preserve"> </w:t>
      </w:r>
      <w:r w:rsidR="0035508C" w:rsidRPr="00F33074">
        <w:rPr>
          <w:lang w:val="fr-FR"/>
        </w:rPr>
        <w:t xml:space="preserve">de </w:t>
      </w:r>
      <w:r w:rsidR="00FB1CC0" w:rsidRPr="00F33074">
        <w:rPr>
          <w:lang w:val="fr-FR"/>
        </w:rPr>
        <w:t>grade A)</w:t>
      </w:r>
    </w:p>
    <w:p w:rsidR="00FB1CC0" w:rsidRPr="00F33074" w:rsidRDefault="00FB1CC0" w:rsidP="00FB1CC0">
      <w:pPr>
        <w:numPr>
          <w:ilvl w:val="0"/>
          <w:numId w:val="6"/>
        </w:numPr>
        <w:spacing w:line="240" w:lineRule="auto"/>
        <w:rPr>
          <w:lang w:val="fr-FR"/>
        </w:rPr>
      </w:pPr>
      <w:r w:rsidRPr="00F33074">
        <w:rPr>
          <w:lang w:val="fr-FR"/>
        </w:rPr>
        <w:t>Clonidine, pentazocine, clomipramine, delta-9-t</w:t>
      </w:r>
      <w:r w:rsidR="00D215A8" w:rsidRPr="00F33074">
        <w:rPr>
          <w:lang w:val="fr-FR"/>
        </w:rPr>
        <w:t>é</w:t>
      </w:r>
      <w:r w:rsidRPr="00F33074">
        <w:rPr>
          <w:lang w:val="fr-FR"/>
        </w:rPr>
        <w:t xml:space="preserve">trahydrocannabinol </w:t>
      </w:r>
      <w:r w:rsidR="00D215A8" w:rsidRPr="00F33074">
        <w:rPr>
          <w:lang w:val="fr-FR"/>
        </w:rPr>
        <w:t>et</w:t>
      </w:r>
      <w:r w:rsidRPr="00F33074">
        <w:rPr>
          <w:lang w:val="fr-FR"/>
        </w:rPr>
        <w:t xml:space="preserve"> naloxone (</w:t>
      </w:r>
      <w:r w:rsidR="0035508C" w:rsidRPr="00F33074">
        <w:rPr>
          <w:lang w:val="fr-FR"/>
        </w:rPr>
        <w:t>tous</w:t>
      </w:r>
      <w:r w:rsidRPr="00F33074">
        <w:rPr>
          <w:lang w:val="fr-FR"/>
        </w:rPr>
        <w:t xml:space="preserve"> </w:t>
      </w:r>
      <w:r w:rsidR="0035508C" w:rsidRPr="00F33074">
        <w:rPr>
          <w:lang w:val="fr-FR"/>
        </w:rPr>
        <w:t xml:space="preserve">de </w:t>
      </w:r>
      <w:r w:rsidRPr="00F33074">
        <w:rPr>
          <w:lang w:val="fr-FR"/>
        </w:rPr>
        <w:t>grade A)</w:t>
      </w:r>
    </w:p>
    <w:p w:rsidR="00FB1CC0" w:rsidRPr="00F33074" w:rsidRDefault="0035508C" w:rsidP="00FB1CC0">
      <w:pPr>
        <w:numPr>
          <w:ilvl w:val="0"/>
          <w:numId w:val="6"/>
        </w:numPr>
        <w:spacing w:line="240" w:lineRule="auto"/>
        <w:rPr>
          <w:lang w:val="fr-FR"/>
        </w:rPr>
      </w:pPr>
      <w:r w:rsidRPr="00F33074">
        <w:rPr>
          <w:lang w:val="fr-FR"/>
        </w:rPr>
        <w:t>Infiltration c</w:t>
      </w:r>
      <w:r w:rsidR="00FB1CC0" w:rsidRPr="00F33074">
        <w:rPr>
          <w:lang w:val="fr-FR"/>
        </w:rPr>
        <w:t>ontinu</w:t>
      </w:r>
      <w:r w:rsidRPr="00F33074">
        <w:rPr>
          <w:lang w:val="fr-FR"/>
        </w:rPr>
        <w:t>e de la plaie avec anesthésie</w:t>
      </w:r>
      <w:r w:rsidR="00FB1CC0" w:rsidRPr="00F33074">
        <w:rPr>
          <w:lang w:val="fr-FR"/>
        </w:rPr>
        <w:t xml:space="preserve"> local</w:t>
      </w:r>
      <w:r w:rsidRPr="00F33074">
        <w:rPr>
          <w:lang w:val="fr-FR"/>
        </w:rPr>
        <w:t>e après fermeture</w:t>
      </w:r>
      <w:r w:rsidR="00FB1CC0" w:rsidRPr="00F33074">
        <w:rPr>
          <w:lang w:val="fr-FR"/>
        </w:rPr>
        <w:t xml:space="preserve"> (grade A) (</w:t>
      </w:r>
      <w:r w:rsidRPr="00F33074">
        <w:rPr>
          <w:lang w:val="fr-FR"/>
        </w:rPr>
        <w:t>bien qu’une</w:t>
      </w:r>
      <w:r w:rsidR="00FB1CC0" w:rsidRPr="00F33074">
        <w:rPr>
          <w:lang w:val="fr-FR"/>
        </w:rPr>
        <w:t xml:space="preserve"> </w:t>
      </w:r>
      <w:r w:rsidRPr="00F33074">
        <w:rPr>
          <w:lang w:val="fr-FR"/>
        </w:rPr>
        <w:t>infiltration de la plaie avant la fermeture soit</w:t>
      </w:r>
      <w:r w:rsidR="00FB1CC0" w:rsidRPr="00F33074">
        <w:rPr>
          <w:lang w:val="fr-FR"/>
        </w:rPr>
        <w:t xml:space="preserve"> recomm</w:t>
      </w:r>
      <w:r w:rsidRPr="00F33074">
        <w:rPr>
          <w:lang w:val="fr-FR"/>
        </w:rPr>
        <w:t>a</w:t>
      </w:r>
      <w:r w:rsidR="00FB1CC0" w:rsidRPr="00F33074">
        <w:rPr>
          <w:lang w:val="fr-FR"/>
        </w:rPr>
        <w:t>nd</w:t>
      </w:r>
      <w:r w:rsidRPr="00F33074">
        <w:rPr>
          <w:lang w:val="fr-FR"/>
        </w:rPr>
        <w:t>ée</w:t>
      </w:r>
      <w:r w:rsidR="00FB1CC0" w:rsidRPr="00F33074">
        <w:rPr>
          <w:lang w:val="fr-FR"/>
        </w:rPr>
        <w:t xml:space="preserve">, </w:t>
      </w:r>
      <w:r w:rsidRPr="00F33074">
        <w:rPr>
          <w:lang w:val="fr-FR"/>
        </w:rPr>
        <w:t>voir ci-dessus</w:t>
      </w:r>
      <w:r w:rsidR="00FB1CC0" w:rsidRPr="00F33074">
        <w:rPr>
          <w:lang w:val="fr-FR"/>
        </w:rPr>
        <w:t>)</w:t>
      </w:r>
    </w:p>
    <w:p w:rsidR="00FB1CC0" w:rsidRPr="00F33074" w:rsidRDefault="00FB1CC0" w:rsidP="00FB1CC0">
      <w:pPr>
        <w:numPr>
          <w:ilvl w:val="0"/>
          <w:numId w:val="6"/>
        </w:numPr>
        <w:spacing w:line="240" w:lineRule="auto"/>
        <w:rPr>
          <w:lang w:val="fr-FR"/>
        </w:rPr>
      </w:pPr>
      <w:r w:rsidRPr="00F33074">
        <w:rPr>
          <w:lang w:val="fr-FR"/>
        </w:rPr>
        <w:t>Musi</w:t>
      </w:r>
      <w:r w:rsidR="0035508C" w:rsidRPr="00F33074">
        <w:rPr>
          <w:lang w:val="fr-FR"/>
        </w:rPr>
        <w:t>que</w:t>
      </w:r>
      <w:r w:rsidRPr="00F33074">
        <w:rPr>
          <w:lang w:val="fr-FR"/>
        </w:rPr>
        <w:t xml:space="preserve"> </w:t>
      </w:r>
      <w:r w:rsidR="00E36B17" w:rsidRPr="00F33074">
        <w:rPr>
          <w:lang w:val="fr-FR"/>
        </w:rPr>
        <w:t>dans USPA</w:t>
      </w:r>
      <w:r w:rsidRPr="00F33074">
        <w:rPr>
          <w:lang w:val="fr-FR"/>
        </w:rPr>
        <w:t xml:space="preserve">, </w:t>
      </w:r>
      <w:r w:rsidR="004701CE" w:rsidRPr="00F33074">
        <w:rPr>
          <w:lang w:val="fr-FR"/>
        </w:rPr>
        <w:t xml:space="preserve">arnica </w:t>
      </w:r>
      <w:r w:rsidRPr="00F33074">
        <w:rPr>
          <w:lang w:val="fr-FR"/>
        </w:rPr>
        <w:t>hom</w:t>
      </w:r>
      <w:r w:rsidR="004701CE" w:rsidRPr="00F33074">
        <w:rPr>
          <w:lang w:val="fr-FR"/>
        </w:rPr>
        <w:t>é</w:t>
      </w:r>
      <w:r w:rsidRPr="00F33074">
        <w:rPr>
          <w:lang w:val="fr-FR"/>
        </w:rPr>
        <w:t>opathi</w:t>
      </w:r>
      <w:r w:rsidR="004701CE" w:rsidRPr="00F33074">
        <w:rPr>
          <w:lang w:val="fr-FR"/>
        </w:rPr>
        <w:t>que ou</w:t>
      </w:r>
      <w:r w:rsidRPr="00F33074">
        <w:rPr>
          <w:lang w:val="fr-FR"/>
        </w:rPr>
        <w:t xml:space="preserve"> </w:t>
      </w:r>
      <w:r w:rsidR="00AE484A" w:rsidRPr="00F33074">
        <w:rPr>
          <w:lang w:val="fr-FR"/>
        </w:rPr>
        <w:t>techniques d’auto</w:t>
      </w:r>
      <w:r w:rsidRPr="00F33074">
        <w:rPr>
          <w:lang w:val="fr-FR"/>
        </w:rPr>
        <w:t>relaxation (</w:t>
      </w:r>
      <w:r w:rsidR="00AE484A" w:rsidRPr="00F33074">
        <w:rPr>
          <w:lang w:val="fr-FR"/>
        </w:rPr>
        <w:t>tous de</w:t>
      </w:r>
      <w:r w:rsidRPr="00F33074">
        <w:rPr>
          <w:lang w:val="fr-FR"/>
        </w:rPr>
        <w:t xml:space="preserve"> grade A)</w:t>
      </w:r>
    </w:p>
    <w:p w:rsidR="00200555" w:rsidRPr="00F33074" w:rsidRDefault="000E0033" w:rsidP="00FB1CC0">
      <w:pPr>
        <w:spacing w:line="240" w:lineRule="auto"/>
        <w:rPr>
          <w:lang w:val="fr-FR"/>
        </w:rPr>
      </w:pPr>
      <w:r w:rsidRPr="00F33074">
        <w:rPr>
          <w:b/>
          <w:bCs/>
          <w:lang w:val="fr-FR"/>
        </w:rPr>
        <w:lastRenderedPageBreak/>
        <w:t>Voir recommandations générales de</w:t>
      </w:r>
      <w:r w:rsidR="00FB1CC0" w:rsidRPr="00F33074">
        <w:rPr>
          <w:b/>
          <w:bCs/>
          <w:lang w:val="fr-FR"/>
        </w:rPr>
        <w:t xml:space="preserve"> PROSPECT </w:t>
      </w:r>
      <w:r w:rsidR="00F33074" w:rsidRPr="00F33074">
        <w:rPr>
          <w:b/>
          <w:bCs/>
          <w:lang w:val="fr-FR"/>
        </w:rPr>
        <w:t>pour une</w:t>
      </w:r>
      <w:r w:rsidR="00FB1CC0" w:rsidRPr="00F33074">
        <w:rPr>
          <w:b/>
          <w:bCs/>
          <w:lang w:val="fr-FR"/>
        </w:rPr>
        <w:t xml:space="preserve"> strat</w:t>
      </w:r>
      <w:r w:rsidR="00F33074" w:rsidRPr="00F33074">
        <w:rPr>
          <w:b/>
          <w:bCs/>
          <w:lang w:val="fr-FR"/>
        </w:rPr>
        <w:t>é</w:t>
      </w:r>
      <w:r w:rsidR="00FB1CC0" w:rsidRPr="00F33074">
        <w:rPr>
          <w:b/>
          <w:bCs/>
          <w:lang w:val="fr-FR"/>
        </w:rPr>
        <w:t>g</w:t>
      </w:r>
      <w:r w:rsidR="00F33074" w:rsidRPr="00F33074">
        <w:rPr>
          <w:b/>
          <w:bCs/>
          <w:lang w:val="fr-FR"/>
        </w:rPr>
        <w:t>ie globale</w:t>
      </w:r>
      <w:r w:rsidR="00FB1CC0" w:rsidRPr="00F33074">
        <w:rPr>
          <w:b/>
          <w:bCs/>
          <w:lang w:val="fr-FR"/>
        </w:rPr>
        <w:t xml:space="preserve"> </w:t>
      </w:r>
      <w:r w:rsidR="00F33074" w:rsidRPr="00F33074">
        <w:rPr>
          <w:b/>
          <w:bCs/>
          <w:lang w:val="fr-FR"/>
        </w:rPr>
        <w:t xml:space="preserve">du traitement de la douleur après une hystérectomie </w:t>
      </w:r>
      <w:r w:rsidR="00FB1CC0" w:rsidRPr="00F33074">
        <w:rPr>
          <w:b/>
          <w:bCs/>
          <w:lang w:val="fr-FR"/>
        </w:rPr>
        <w:t>abdominal</w:t>
      </w:r>
      <w:r w:rsidR="00F33074" w:rsidRPr="00F33074">
        <w:rPr>
          <w:b/>
          <w:bCs/>
          <w:lang w:val="fr-FR"/>
        </w:rPr>
        <w:t>e.</w:t>
      </w:r>
      <w:r w:rsidR="00FB1CC0" w:rsidRPr="00F33074">
        <w:rPr>
          <w:b/>
          <w:bCs/>
          <w:lang w:val="fr-FR"/>
        </w:rPr>
        <w:t xml:space="preserve"> </w:t>
      </w:r>
    </w:p>
    <w:sectPr w:rsidR="00200555" w:rsidRPr="00F33074" w:rsidSect="006E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571"/>
    <w:multiLevelType w:val="multilevel"/>
    <w:tmpl w:val="3C3C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90BC6"/>
    <w:multiLevelType w:val="multilevel"/>
    <w:tmpl w:val="9722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979EA"/>
    <w:multiLevelType w:val="multilevel"/>
    <w:tmpl w:val="9670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57331"/>
    <w:multiLevelType w:val="multilevel"/>
    <w:tmpl w:val="E250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56535"/>
    <w:multiLevelType w:val="multilevel"/>
    <w:tmpl w:val="0170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E3A8D"/>
    <w:multiLevelType w:val="multilevel"/>
    <w:tmpl w:val="08F0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CC0"/>
    <w:rsid w:val="000C2E57"/>
    <w:rsid w:val="000E0033"/>
    <w:rsid w:val="000E3439"/>
    <w:rsid w:val="00102D10"/>
    <w:rsid w:val="001438CD"/>
    <w:rsid w:val="00200555"/>
    <w:rsid w:val="002F0157"/>
    <w:rsid w:val="0033229F"/>
    <w:rsid w:val="0035508C"/>
    <w:rsid w:val="0046045B"/>
    <w:rsid w:val="004701CE"/>
    <w:rsid w:val="004E69FE"/>
    <w:rsid w:val="005046D3"/>
    <w:rsid w:val="005C34B5"/>
    <w:rsid w:val="005E236D"/>
    <w:rsid w:val="006C26F8"/>
    <w:rsid w:val="006E208A"/>
    <w:rsid w:val="007A3BDF"/>
    <w:rsid w:val="007C4EBC"/>
    <w:rsid w:val="008D0434"/>
    <w:rsid w:val="009A424C"/>
    <w:rsid w:val="009B3A31"/>
    <w:rsid w:val="00A00C61"/>
    <w:rsid w:val="00A647A8"/>
    <w:rsid w:val="00AE484A"/>
    <w:rsid w:val="00B22D36"/>
    <w:rsid w:val="00B9039B"/>
    <w:rsid w:val="00CB52A3"/>
    <w:rsid w:val="00D06A44"/>
    <w:rsid w:val="00D15488"/>
    <w:rsid w:val="00D215A8"/>
    <w:rsid w:val="00DA3128"/>
    <w:rsid w:val="00DA5E3A"/>
    <w:rsid w:val="00E03944"/>
    <w:rsid w:val="00E36B17"/>
    <w:rsid w:val="00F10D3E"/>
    <w:rsid w:val="00F33074"/>
    <w:rsid w:val="00F8201D"/>
    <w:rsid w:val="00FB1CC0"/>
    <w:rsid w:val="00FF4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20D13-6EF8-41C5-BD05-B077C8D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0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1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19456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52827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stoppain.org/sections/?p=10" TargetMode="External"/><Relationship Id="rId5" Type="http://schemas.openxmlformats.org/officeDocument/2006/relationships/hyperlink" Target="https://www.postoppain.org/sections/?p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790</Words>
  <Characters>4838</Characters>
  <Application>Microsoft Office Word</Application>
  <DocSecurity>0</DocSecurity>
  <Lines>83</Lines>
  <Paragraphs>51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UZ Leuven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Michiels</dc:creator>
  <cp:keywords/>
  <dc:description/>
  <cp:lastModifiedBy>Crossword</cp:lastModifiedBy>
  <cp:revision>27</cp:revision>
  <dcterms:created xsi:type="dcterms:W3CDTF">2018-11-12T18:01:00Z</dcterms:created>
  <dcterms:modified xsi:type="dcterms:W3CDTF">2018-11-14T17:59:00Z</dcterms:modified>
</cp:coreProperties>
</file>