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CC0" w:rsidRPr="00946D31" w:rsidRDefault="00FB1CC0" w:rsidP="00FB1CC0">
      <w:pPr>
        <w:spacing w:line="240" w:lineRule="auto"/>
        <w:rPr>
          <w:lang w:val="es-ES_tradnl"/>
        </w:rPr>
      </w:pPr>
      <w:r w:rsidRPr="00946D31">
        <w:rPr>
          <w:lang w:val="es-ES_tradnl"/>
        </w:rPr>
        <w:t>Resumen de recomendaciones</w:t>
      </w:r>
      <w:r w:rsidRPr="00946D31">
        <w:rPr>
          <w:lang w:val="es-ES_tradnl"/>
        </w:rPr>
        <w:br/>
        <w:t>Las recomendaciones del Grupo de trabajo PROSPECT se clasifican con las letras A-D, de acuerdo con el nivel de evidencia de los estudios, de conformidad con el Oxford Centre for Evidence-Based Medicine (</w:t>
      </w:r>
      <w:hyperlink r:id="rId5" w:history="1">
        <w:r w:rsidRPr="00946D31">
          <w:rPr>
            <w:rStyle w:val="Lienhypertexte"/>
            <w:lang w:val="es-ES_tradnl"/>
          </w:rPr>
          <w:t>sitio web del CEBM, acceso en diciembre de 2003, Sackett 2000</w:t>
        </w:r>
      </w:hyperlink>
      <w:r w:rsidRPr="00946D31">
        <w:rPr>
          <w:lang w:val="es-ES_tradnl"/>
        </w:rPr>
        <w:t>). En el contexto de PROSPECT, las recomendaciones basadas en evidencia específica de la intervención son de grado A (ensayos clínicos aleatorios), las basadas en evidencia transferible son de grado B (ensayos clínicos aleatorios) o de grado C (estudios retrospectivos o series de casos), y las basadas en la práctica clínica son de grado D. (</w:t>
      </w:r>
      <w:hyperlink r:id="rId6" w:history="1">
        <w:r w:rsidRPr="00946D31">
          <w:rPr>
            <w:rStyle w:val="Lienhypertexte"/>
            <w:lang w:val="es-ES_tradnl"/>
          </w:rPr>
          <w:t>Haga clic aquí para obtener más información sobre los niveles de evidencia y los grados de recomendación</w:t>
        </w:r>
      </w:hyperlink>
      <w:r w:rsidRPr="00946D31">
        <w:rPr>
          <w:lang w:val="es-ES_tradnl"/>
        </w:rPr>
        <w:t xml:space="preserve">) PROSPECT facilita a los profesionales sanitarios argumentos de apoyo a favor y en contra del uso de las distintas intervenciones en el dolor posoperatorio, de acuerdo con la evidencia publicada y la opinión de los expertos. Los profesionales sanitarios deben emitir su opinión basándose en las circunstancias clínicas y la normativa local. En todo momento, se debe consultar la información local sobre prescripción que corresponda a los fármacos mencionados. Las siguientes intervenciones preoperatorias, intraoperatorias y posoperatorias se han evaluado para el tratamiento del dolor posoperatorio tras una histerectomía abdominal: </w:t>
      </w:r>
      <w:r w:rsidRPr="00946D31">
        <w:rPr>
          <w:b/>
          <w:bCs/>
          <w:lang w:val="es-ES_tradnl"/>
        </w:rPr>
        <w:t>Recomendaciones</w:t>
      </w:r>
      <w:r w:rsidRPr="00946D31">
        <w:rPr>
          <w:lang w:val="es-ES_tradnl"/>
        </w:rPr>
        <w:t xml:space="preserve"> </w:t>
      </w:r>
      <w:r w:rsidRPr="00946D31">
        <w:rPr>
          <w:b/>
          <w:bCs/>
          <w:i/>
          <w:iCs/>
          <w:lang w:val="es-ES_tradnl"/>
        </w:rPr>
        <w:t>preoperatorias:</w:t>
      </w:r>
      <w:r w:rsidRPr="00946D31">
        <w:rPr>
          <w:b/>
          <w:bCs/>
          <w:lang w:val="es-ES_tradnl"/>
        </w:rPr>
        <w:t xml:space="preserve"> </w:t>
      </w:r>
    </w:p>
    <w:p w:rsidR="00FB1CC0" w:rsidRPr="00946D31" w:rsidRDefault="00FB1CC0" w:rsidP="00FB1CC0">
      <w:pPr>
        <w:numPr>
          <w:ilvl w:val="0"/>
          <w:numId w:val="1"/>
        </w:numPr>
        <w:spacing w:line="240" w:lineRule="auto"/>
        <w:rPr>
          <w:lang w:val="es-ES_tradnl"/>
        </w:rPr>
      </w:pPr>
      <w:r w:rsidRPr="00946D31">
        <w:rPr>
          <w:b/>
          <w:bCs/>
          <w:lang w:val="es-ES_tradnl"/>
        </w:rPr>
        <w:t xml:space="preserve">Anestesia local raquídea de una sola dosis más un opioide fuerte, con fines anestésicos (grado D) y analgésicos posoperatorios (grado A), pero las ventajas se deben sopesar con los riesgos del carácter invasivo de la intervención. </w:t>
      </w:r>
    </w:p>
    <w:p w:rsidR="00FB1CC0" w:rsidRPr="00946D31" w:rsidRDefault="00FB1CC0" w:rsidP="00FB1CC0">
      <w:pPr>
        <w:numPr>
          <w:ilvl w:val="0"/>
          <w:numId w:val="1"/>
        </w:numPr>
        <w:spacing w:line="240" w:lineRule="auto"/>
        <w:rPr>
          <w:lang w:val="es-ES_tradnl"/>
        </w:rPr>
      </w:pPr>
      <w:r w:rsidRPr="00946D31">
        <w:rPr>
          <w:b/>
          <w:bCs/>
          <w:lang w:val="es-ES_tradnl"/>
        </w:rPr>
        <w:t xml:space="preserve">Intervención cognitiva (grado A) </w:t>
      </w:r>
    </w:p>
    <w:p w:rsidR="00FB1CC0" w:rsidRPr="00946D31" w:rsidRDefault="00FB1CC0" w:rsidP="00FB1CC0">
      <w:pPr>
        <w:spacing w:line="240" w:lineRule="auto"/>
        <w:rPr>
          <w:lang w:val="es-ES_tradnl"/>
        </w:rPr>
      </w:pPr>
      <w:r w:rsidRPr="00946D31">
        <w:rPr>
          <w:i/>
          <w:iCs/>
          <w:lang w:val="es-ES_tradnl"/>
        </w:rPr>
        <w:t>No se recomienda:</w:t>
      </w:r>
      <w:r w:rsidRPr="00946D31">
        <w:rPr>
          <w:lang w:val="es-ES_tradnl"/>
        </w:rPr>
        <w:t xml:space="preserve"> </w:t>
      </w:r>
    </w:p>
    <w:p w:rsidR="00FB1CC0" w:rsidRPr="00946D31" w:rsidRDefault="00FB1CC0" w:rsidP="00FB1CC0">
      <w:pPr>
        <w:numPr>
          <w:ilvl w:val="0"/>
          <w:numId w:val="2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Analgésicos sistémicos (p. ej., inhibidores de la COX-2 IV, AINE convencionales y opioides fuertes), excepto para garantizar una analgesia suficiente cuando la paciente se despierte (p. ej., inhibidores de la COX-2 orales) (grado A).</w:t>
      </w:r>
    </w:p>
    <w:p w:rsidR="00FB1CC0" w:rsidRPr="00946D31" w:rsidRDefault="00FB1CC0" w:rsidP="00FB1CC0">
      <w:pPr>
        <w:numPr>
          <w:ilvl w:val="0"/>
          <w:numId w:val="2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Clonidina, antagonistas del receptor NMDA y benzodiazepinas (grado A).</w:t>
      </w:r>
    </w:p>
    <w:p w:rsidR="00FB1CC0" w:rsidRPr="00946D31" w:rsidRDefault="00FB1CC0" w:rsidP="00FB1CC0">
      <w:pPr>
        <w:numPr>
          <w:ilvl w:val="0"/>
          <w:numId w:val="2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Una dosis de epidural para la analgesia posoperatoria (grado A).</w:t>
      </w:r>
    </w:p>
    <w:p w:rsidR="00FB1CC0" w:rsidRPr="00946D31" w:rsidRDefault="00FB1CC0" w:rsidP="00FB1CC0">
      <w:pPr>
        <w:numPr>
          <w:ilvl w:val="0"/>
          <w:numId w:val="2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Infiltración cutánea de anestesia local en la zona de incisión propuesta (grado A) (pero se recomienda la infiltración de la herida intraoperatoria, véase más abajo).</w:t>
      </w:r>
    </w:p>
    <w:p w:rsidR="00FB1CC0" w:rsidRPr="00946D31" w:rsidRDefault="00FB1CC0" w:rsidP="00FB1CC0">
      <w:pPr>
        <w:numPr>
          <w:ilvl w:val="0"/>
          <w:numId w:val="2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Árnica homeopática y técnicas de autorrelajación (grado A).</w:t>
      </w:r>
    </w:p>
    <w:p w:rsidR="00FB1CC0" w:rsidRPr="00946D31" w:rsidRDefault="00FB1CC0" w:rsidP="00FB1CC0">
      <w:pPr>
        <w:spacing w:line="240" w:lineRule="auto"/>
        <w:rPr>
          <w:lang w:val="es-ES_tradnl"/>
        </w:rPr>
      </w:pPr>
      <w:r w:rsidRPr="00946D31">
        <w:rPr>
          <w:b/>
          <w:bCs/>
          <w:i/>
          <w:iCs/>
          <w:lang w:val="es-ES_tradnl"/>
        </w:rPr>
        <w:t>Recomendaciones</w:t>
      </w:r>
      <w:r w:rsidRPr="00946D31">
        <w:rPr>
          <w:b/>
          <w:bCs/>
          <w:lang w:val="es-ES_tradnl"/>
        </w:rPr>
        <w:t xml:space="preserve"> intraoperatorias:</w:t>
      </w:r>
    </w:p>
    <w:p w:rsidR="00FB1CC0" w:rsidRPr="00946D31" w:rsidRDefault="00FB1CC0" w:rsidP="00FB1CC0">
      <w:pPr>
        <w:numPr>
          <w:ilvl w:val="0"/>
          <w:numId w:val="3"/>
        </w:numPr>
        <w:spacing w:line="240" w:lineRule="auto"/>
        <w:rPr>
          <w:lang w:val="es-ES_tradnl"/>
        </w:rPr>
      </w:pPr>
      <w:r w:rsidRPr="00946D31">
        <w:rPr>
          <w:b/>
          <w:bCs/>
          <w:lang w:val="es-ES_tradnl"/>
        </w:rPr>
        <w:t xml:space="preserve">Anestesia general o una dosis de anestesia raquídea con o sin anestesia general ligera en las pacientes de bajo riesgo (grado D). </w:t>
      </w:r>
    </w:p>
    <w:p w:rsidR="00FB1CC0" w:rsidRPr="00946D31" w:rsidRDefault="00FB1CC0" w:rsidP="00FB1CC0">
      <w:pPr>
        <w:numPr>
          <w:ilvl w:val="0"/>
          <w:numId w:val="3"/>
        </w:numPr>
        <w:spacing w:line="240" w:lineRule="auto"/>
        <w:rPr>
          <w:lang w:val="es-ES_tradnl"/>
        </w:rPr>
      </w:pPr>
      <w:r w:rsidRPr="00946D31">
        <w:rPr>
          <w:b/>
          <w:bCs/>
          <w:lang w:val="es-ES_tradnl"/>
        </w:rPr>
        <w:t xml:space="preserve">Anestesia epidural combinada con anestesia general ligera, o combinada con anestesia raquídea-epidural, en pacientes de alto riesgo (grado A). </w:t>
      </w:r>
    </w:p>
    <w:p w:rsidR="00FB1CC0" w:rsidRPr="00946D31" w:rsidRDefault="00FB1CC0" w:rsidP="00FB1CC0">
      <w:pPr>
        <w:numPr>
          <w:ilvl w:val="0"/>
          <w:numId w:val="3"/>
        </w:numPr>
        <w:spacing w:line="240" w:lineRule="auto"/>
        <w:rPr>
          <w:lang w:val="es-ES_tradnl"/>
        </w:rPr>
      </w:pPr>
      <w:r w:rsidRPr="00946D31">
        <w:rPr>
          <w:b/>
          <w:bCs/>
          <w:lang w:val="es-ES_tradnl"/>
        </w:rPr>
        <w:t xml:space="preserve">Opioides fuertes administrados con suficiente tiempo para garantizar que haya suficiente analgesia cuando la paciente se despierte (grado A). </w:t>
      </w:r>
    </w:p>
    <w:p w:rsidR="00FB1CC0" w:rsidRPr="00946D31" w:rsidRDefault="00FB1CC0" w:rsidP="00FB1CC0">
      <w:pPr>
        <w:numPr>
          <w:ilvl w:val="0"/>
          <w:numId w:val="3"/>
        </w:numPr>
        <w:spacing w:line="240" w:lineRule="auto"/>
        <w:rPr>
          <w:lang w:val="es-ES_tradnl"/>
        </w:rPr>
      </w:pPr>
      <w:r w:rsidRPr="00946D31">
        <w:rPr>
          <w:b/>
          <w:bCs/>
          <w:lang w:val="es-ES_tradnl"/>
        </w:rPr>
        <w:t xml:space="preserve">Infiltración de la herida antes de cerrar (grado A). </w:t>
      </w:r>
    </w:p>
    <w:p w:rsidR="00FB1CC0" w:rsidRPr="00946D31" w:rsidRDefault="00FB1CC0" w:rsidP="00FB1CC0">
      <w:pPr>
        <w:numPr>
          <w:ilvl w:val="0"/>
          <w:numId w:val="3"/>
        </w:numPr>
        <w:spacing w:line="240" w:lineRule="auto"/>
        <w:rPr>
          <w:lang w:val="es-ES_tradnl"/>
        </w:rPr>
      </w:pPr>
      <w:r w:rsidRPr="00946D31">
        <w:rPr>
          <w:b/>
          <w:bCs/>
          <w:lang w:val="es-ES_tradnl"/>
        </w:rPr>
        <w:t xml:space="preserve">HVAL o HV en lugar de histerectomía abdominal, solamente si lo permiten los requisitos quirúrgicos (según la viabilidad técnica, las indicaciones de histerectomía de la paciente y los factores de riesgo) (grado A). </w:t>
      </w:r>
    </w:p>
    <w:p w:rsidR="00FB1CC0" w:rsidRPr="00946D31" w:rsidRDefault="00FB1CC0" w:rsidP="00FB1CC0">
      <w:pPr>
        <w:numPr>
          <w:ilvl w:val="0"/>
          <w:numId w:val="3"/>
        </w:numPr>
        <w:spacing w:line="240" w:lineRule="auto"/>
        <w:rPr>
          <w:lang w:val="es-ES_tradnl"/>
        </w:rPr>
      </w:pPr>
      <w:r w:rsidRPr="00946D31">
        <w:rPr>
          <w:b/>
          <w:bCs/>
          <w:lang w:val="es-ES_tradnl"/>
        </w:rPr>
        <w:t xml:space="preserve">Incisión de Pfannenstiel, solamente si lo permiten los requisitos quirúrgicos (según la viabilidad técnica, las indicaciones de histerectomía de la paciente y los factores de riesgo) (grado B). </w:t>
      </w:r>
    </w:p>
    <w:p w:rsidR="00FB1CC0" w:rsidRPr="00946D31" w:rsidRDefault="00FB1CC0" w:rsidP="00FB1CC0">
      <w:pPr>
        <w:numPr>
          <w:ilvl w:val="0"/>
          <w:numId w:val="3"/>
        </w:numPr>
        <w:spacing w:line="240" w:lineRule="auto"/>
        <w:rPr>
          <w:lang w:val="es-ES_tradnl"/>
        </w:rPr>
      </w:pPr>
      <w:r w:rsidRPr="00946D31">
        <w:rPr>
          <w:b/>
          <w:bCs/>
          <w:lang w:val="es-ES_tradnl"/>
        </w:rPr>
        <w:lastRenderedPageBreak/>
        <w:t xml:space="preserve">Incisión por diatermia (grado B). </w:t>
      </w:r>
    </w:p>
    <w:p w:rsidR="00FB1CC0" w:rsidRPr="00946D31" w:rsidRDefault="00FB1CC0" w:rsidP="00FB1CC0">
      <w:pPr>
        <w:numPr>
          <w:ilvl w:val="0"/>
          <w:numId w:val="3"/>
        </w:numPr>
        <w:spacing w:line="240" w:lineRule="auto"/>
        <w:rPr>
          <w:lang w:val="es-ES_tradnl"/>
        </w:rPr>
      </w:pPr>
      <w:r w:rsidRPr="00946D31">
        <w:rPr>
          <w:b/>
          <w:bCs/>
          <w:lang w:val="es-ES_tradnl"/>
        </w:rPr>
        <w:t xml:space="preserve">Calentamiento activo de la paciente en pacientes de alto riesgo (grado A). </w:t>
      </w:r>
    </w:p>
    <w:p w:rsidR="00FB1CC0" w:rsidRPr="00946D31" w:rsidRDefault="00FB1CC0" w:rsidP="00FB1CC0">
      <w:pPr>
        <w:numPr>
          <w:ilvl w:val="0"/>
          <w:numId w:val="3"/>
        </w:numPr>
        <w:spacing w:line="240" w:lineRule="auto"/>
        <w:rPr>
          <w:lang w:val="es-ES_tradnl"/>
        </w:rPr>
      </w:pPr>
      <w:r w:rsidRPr="00946D31">
        <w:rPr>
          <w:b/>
          <w:bCs/>
          <w:lang w:val="es-ES_tradnl"/>
        </w:rPr>
        <w:t>Música intraoperatoria (grado A).</w:t>
      </w:r>
    </w:p>
    <w:p w:rsidR="00FB1CC0" w:rsidRPr="00946D31" w:rsidRDefault="00FB1CC0" w:rsidP="00FB1CC0">
      <w:pPr>
        <w:spacing w:line="240" w:lineRule="auto"/>
        <w:rPr>
          <w:lang w:val="es-ES_tradnl"/>
        </w:rPr>
      </w:pPr>
      <w:r w:rsidRPr="00946D31">
        <w:rPr>
          <w:i/>
          <w:iCs/>
          <w:lang w:val="es-ES_tradnl"/>
        </w:rPr>
        <w:t>No se recomienda:</w:t>
      </w:r>
      <w:r w:rsidRPr="00946D31">
        <w:rPr>
          <w:lang w:val="es-ES_tradnl"/>
        </w:rPr>
        <w:t xml:space="preserve"> </w:t>
      </w:r>
    </w:p>
    <w:p w:rsidR="00FB1CC0" w:rsidRPr="00946D31" w:rsidRDefault="00FB1CC0" w:rsidP="00FB1CC0">
      <w:pPr>
        <w:numPr>
          <w:ilvl w:val="0"/>
          <w:numId w:val="4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Una dosis de epidural para la analgesia posoperatoria (grado A).</w:t>
      </w:r>
    </w:p>
    <w:p w:rsidR="00FB1CC0" w:rsidRPr="00946D31" w:rsidRDefault="00FB1CC0" w:rsidP="00FB1CC0">
      <w:pPr>
        <w:numPr>
          <w:ilvl w:val="0"/>
          <w:numId w:val="4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Adenosina, antagonistas del receptor NMDA, benzodiazepinas o triptófano (todos de grado A).</w:t>
      </w:r>
    </w:p>
    <w:p w:rsidR="00FB1CC0" w:rsidRPr="00946D31" w:rsidRDefault="00FB1CC0" w:rsidP="00FB1CC0">
      <w:pPr>
        <w:numPr>
          <w:ilvl w:val="0"/>
          <w:numId w:val="4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Analgesia intraperitoneal (grado A).</w:t>
      </w:r>
    </w:p>
    <w:p w:rsidR="00FB1CC0" w:rsidRPr="00946D31" w:rsidRDefault="00FB1CC0" w:rsidP="00FB1CC0">
      <w:pPr>
        <w:numPr>
          <w:ilvl w:val="0"/>
          <w:numId w:val="4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Peritoneo sin sutura, apósito de película húmedo (ambos de grado A) o drenajes quirúrgicos (grado D).</w:t>
      </w:r>
    </w:p>
    <w:p w:rsidR="00FB1CC0" w:rsidRPr="00946D31" w:rsidRDefault="00FB1CC0" w:rsidP="00FB1CC0">
      <w:pPr>
        <w:numPr>
          <w:ilvl w:val="0"/>
          <w:numId w:val="4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Sugerencias terapéuticas o electroacupuntura (ambos de grado A).</w:t>
      </w:r>
    </w:p>
    <w:p w:rsidR="00FB1CC0" w:rsidRPr="00946D31" w:rsidRDefault="00FB1CC0" w:rsidP="00FB1CC0">
      <w:pPr>
        <w:spacing w:line="240" w:lineRule="auto"/>
        <w:rPr>
          <w:lang w:val="es-ES_tradnl"/>
        </w:rPr>
      </w:pPr>
      <w:r w:rsidRPr="00946D31">
        <w:rPr>
          <w:b/>
          <w:bCs/>
          <w:i/>
          <w:iCs/>
          <w:lang w:val="es-ES_tradnl"/>
        </w:rPr>
        <w:t>Recomendaciones</w:t>
      </w:r>
      <w:r w:rsidRPr="00946D31">
        <w:rPr>
          <w:b/>
          <w:bCs/>
          <w:lang w:val="es-ES_tradnl"/>
        </w:rPr>
        <w:t xml:space="preserve"> posoperatorias:</w:t>
      </w:r>
    </w:p>
    <w:p w:rsidR="00FB1CC0" w:rsidRPr="00946D31" w:rsidRDefault="00FB1CC0" w:rsidP="00FB1CC0">
      <w:pPr>
        <w:numPr>
          <w:ilvl w:val="0"/>
          <w:numId w:val="5"/>
        </w:numPr>
        <w:spacing w:line="240" w:lineRule="auto"/>
        <w:rPr>
          <w:lang w:val="es-ES_tradnl"/>
        </w:rPr>
      </w:pPr>
      <w:r w:rsidRPr="00946D31">
        <w:rPr>
          <w:b/>
          <w:bCs/>
          <w:lang w:val="es-ES_tradnl"/>
        </w:rPr>
        <w:t xml:space="preserve">Inhibidores selectivos de la COX-2 o AINE convencionales, en combinación con opioides fuertes para dolor de gran intensidad (VAS=50), o con opioides suaves para dolor moderado (VAS&lt;50&gt;30) o de baja intensidad (VAS=30) (grado A). </w:t>
      </w:r>
    </w:p>
    <w:p w:rsidR="00FB1CC0" w:rsidRPr="00946D31" w:rsidRDefault="00FB1CC0" w:rsidP="00FB1CC0">
      <w:pPr>
        <w:numPr>
          <w:ilvl w:val="0"/>
          <w:numId w:val="5"/>
        </w:numPr>
        <w:spacing w:line="240" w:lineRule="auto"/>
        <w:rPr>
          <w:lang w:val="es-ES_tradnl"/>
        </w:rPr>
      </w:pPr>
      <w:r w:rsidRPr="00946D31">
        <w:rPr>
          <w:b/>
          <w:bCs/>
          <w:lang w:val="es-ES_tradnl"/>
        </w:rPr>
        <w:t xml:space="preserve">Opioides fuertes mediante ACP IV, o mediante dosificación IV fija valorada según la intensidad del dolor (grado A). </w:t>
      </w:r>
    </w:p>
    <w:p w:rsidR="00FB1CC0" w:rsidRPr="00946D31" w:rsidRDefault="00FB1CC0" w:rsidP="00FB1CC0">
      <w:pPr>
        <w:numPr>
          <w:ilvl w:val="0"/>
          <w:numId w:val="5"/>
        </w:numPr>
        <w:spacing w:line="240" w:lineRule="auto"/>
        <w:rPr>
          <w:lang w:val="es-ES_tradnl"/>
        </w:rPr>
      </w:pPr>
      <w:r w:rsidRPr="00946D31">
        <w:rPr>
          <w:b/>
          <w:bCs/>
          <w:lang w:val="es-ES_tradnl"/>
        </w:rPr>
        <w:t xml:space="preserve">Paracetamol para dolor moderado (VAS&gt;30&lt;50) o de baja intensidad (VAS=30), en combinación con inhibidores de la COX-2 o AINE convencionales (grado A). </w:t>
      </w:r>
    </w:p>
    <w:p w:rsidR="00FB1CC0" w:rsidRPr="00946D31" w:rsidRDefault="00FB1CC0" w:rsidP="00FB1CC0">
      <w:pPr>
        <w:numPr>
          <w:ilvl w:val="0"/>
          <w:numId w:val="5"/>
        </w:numPr>
        <w:spacing w:line="240" w:lineRule="auto"/>
        <w:rPr>
          <w:lang w:val="es-ES_tradnl"/>
        </w:rPr>
      </w:pPr>
      <w:r w:rsidRPr="00946D31">
        <w:rPr>
          <w:b/>
          <w:bCs/>
          <w:lang w:val="es-ES_tradnl"/>
        </w:rPr>
        <w:t>Analgesia epidural en pacientes de alto riesgo (grados A y D).</w:t>
      </w:r>
    </w:p>
    <w:p w:rsidR="00FB1CC0" w:rsidRPr="00946D31" w:rsidRDefault="00FB1CC0" w:rsidP="00FB1CC0">
      <w:pPr>
        <w:spacing w:line="240" w:lineRule="auto"/>
        <w:rPr>
          <w:lang w:val="es-ES_tradnl"/>
        </w:rPr>
      </w:pPr>
      <w:r w:rsidRPr="00946D31">
        <w:rPr>
          <w:i/>
          <w:iCs/>
          <w:lang w:val="es-ES_tradnl"/>
        </w:rPr>
        <w:t>No se recomienda:</w:t>
      </w:r>
      <w:r w:rsidRPr="00946D31">
        <w:rPr>
          <w:lang w:val="es-ES_tradnl"/>
        </w:rPr>
        <w:t xml:space="preserve"> </w:t>
      </w:r>
    </w:p>
    <w:p w:rsidR="00FB1CC0" w:rsidRPr="00946D31" w:rsidRDefault="00FB1CC0" w:rsidP="00FB1CC0">
      <w:pPr>
        <w:numPr>
          <w:ilvl w:val="0"/>
          <w:numId w:val="6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Analgesia epidural de uso rutinario en pacientes de bajo riesgo (grado D).</w:t>
      </w:r>
    </w:p>
    <w:p w:rsidR="00FB1CC0" w:rsidRPr="00946D31" w:rsidRDefault="00FB1CC0" w:rsidP="00FB1CC0">
      <w:pPr>
        <w:numPr>
          <w:ilvl w:val="0"/>
          <w:numId w:val="6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Bolos raquídeos repetidos de analgésicos (grado D).</w:t>
      </w:r>
    </w:p>
    <w:p w:rsidR="00FB1CC0" w:rsidRPr="00946D31" w:rsidRDefault="00FB1CC0" w:rsidP="00FB1CC0">
      <w:pPr>
        <w:numPr>
          <w:ilvl w:val="0"/>
          <w:numId w:val="6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Administración concomitante de inhibidores selectivos de la COX-2 o AINE convencionales con analgesia epidural (grado B).</w:t>
      </w:r>
    </w:p>
    <w:p w:rsidR="00FB1CC0" w:rsidRPr="00946D31" w:rsidRDefault="00FB1CC0" w:rsidP="00FB1CC0">
      <w:pPr>
        <w:numPr>
          <w:ilvl w:val="0"/>
          <w:numId w:val="6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Infusión continua de opioides fuertes durante la dosificación del bolo ACP (grado D).</w:t>
      </w:r>
    </w:p>
    <w:p w:rsidR="00FB1CC0" w:rsidRPr="00946D31" w:rsidRDefault="00FB1CC0" w:rsidP="00FB1CC0">
      <w:pPr>
        <w:numPr>
          <w:ilvl w:val="0"/>
          <w:numId w:val="6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Administración IM de opioides fuertes (grado D).</w:t>
      </w:r>
    </w:p>
    <w:p w:rsidR="00FB1CC0" w:rsidRPr="00946D31" w:rsidRDefault="00FB1CC0" w:rsidP="00FB1CC0">
      <w:pPr>
        <w:numPr>
          <w:ilvl w:val="0"/>
          <w:numId w:val="6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Administración intranasal, oral y parches transdérmicos de liberación lenta de opioides fuertes (grado D).</w:t>
      </w:r>
    </w:p>
    <w:p w:rsidR="00FB1CC0" w:rsidRPr="00946D31" w:rsidRDefault="00FB1CC0" w:rsidP="00FB1CC0">
      <w:pPr>
        <w:numPr>
          <w:ilvl w:val="0"/>
          <w:numId w:val="6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Paracetamol para dolor de alta intensidad (VAS=50 mm) (grado B).</w:t>
      </w:r>
    </w:p>
    <w:p w:rsidR="00FB1CC0" w:rsidRPr="00946D31" w:rsidRDefault="00FB1CC0" w:rsidP="00FB1CC0">
      <w:pPr>
        <w:numPr>
          <w:ilvl w:val="0"/>
          <w:numId w:val="6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Antagonistas del receptor NMDA y benzodiazepinas (ambos de grado A).</w:t>
      </w:r>
    </w:p>
    <w:p w:rsidR="00FB1CC0" w:rsidRPr="00946D31" w:rsidRDefault="00FB1CC0" w:rsidP="00FB1CC0">
      <w:pPr>
        <w:numPr>
          <w:ilvl w:val="0"/>
          <w:numId w:val="6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Clonidina, pentazocina, clomipramina, delta-9-tetrahidrocannabinol y naloxona (todos de grado A).</w:t>
      </w:r>
    </w:p>
    <w:p w:rsidR="00FB1CC0" w:rsidRPr="00946D31" w:rsidRDefault="00FB1CC0" w:rsidP="00FB1CC0">
      <w:pPr>
        <w:numPr>
          <w:ilvl w:val="0"/>
          <w:numId w:val="6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Infiltración continua de la herida con anestesia local tras el cierre (grado A) (aunque se recomienda la infiltración de la herida antes del cierre, véase más arriba).</w:t>
      </w:r>
    </w:p>
    <w:p w:rsidR="00FB1CC0" w:rsidRPr="00946D31" w:rsidRDefault="00FB1CC0" w:rsidP="00FB1CC0">
      <w:pPr>
        <w:numPr>
          <w:ilvl w:val="0"/>
          <w:numId w:val="6"/>
        </w:numPr>
        <w:spacing w:line="240" w:lineRule="auto"/>
        <w:rPr>
          <w:lang w:val="es-ES_tradnl"/>
        </w:rPr>
      </w:pPr>
      <w:r w:rsidRPr="00946D31">
        <w:rPr>
          <w:lang w:val="es-ES_tradnl"/>
        </w:rPr>
        <w:t>Música en la UCPA, árnica homeopática o técnicas de autorrelajación (todas de grado A).</w:t>
      </w:r>
    </w:p>
    <w:p w:rsidR="00200555" w:rsidRPr="00946D31" w:rsidRDefault="00FB1CC0" w:rsidP="00FB1CC0">
      <w:pPr>
        <w:spacing w:line="240" w:lineRule="auto"/>
        <w:rPr>
          <w:lang w:val="es-ES_tradnl"/>
        </w:rPr>
      </w:pPr>
      <w:r w:rsidRPr="00946D31">
        <w:rPr>
          <w:b/>
          <w:bCs/>
          <w:lang w:val="es-ES_tradnl"/>
        </w:rPr>
        <w:lastRenderedPageBreak/>
        <w:t>Véanse las Recomendaciones generales de PROSPECT correspondientes a la estrategia general de tratamiento del dolor después de una histerectomía abdominal.</w:t>
      </w:r>
      <w:bookmarkStart w:id="0" w:name="_GoBack"/>
      <w:bookmarkEnd w:id="0"/>
    </w:p>
    <w:sectPr w:rsidR="00200555" w:rsidRPr="00946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571"/>
    <w:multiLevelType w:val="multilevel"/>
    <w:tmpl w:val="3C3C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90BC6"/>
    <w:multiLevelType w:val="multilevel"/>
    <w:tmpl w:val="9722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979EA"/>
    <w:multiLevelType w:val="multilevel"/>
    <w:tmpl w:val="9670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57331"/>
    <w:multiLevelType w:val="multilevel"/>
    <w:tmpl w:val="E250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56535"/>
    <w:multiLevelType w:val="multilevel"/>
    <w:tmpl w:val="0170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AE3A8D"/>
    <w:multiLevelType w:val="multilevel"/>
    <w:tmpl w:val="08F0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CC0"/>
    <w:rsid w:val="001A0C0E"/>
    <w:rsid w:val="00200555"/>
    <w:rsid w:val="00946D31"/>
    <w:rsid w:val="00F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E955D-496E-43B2-BF70-8AA6C593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1C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19456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1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52827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stoppain.org/sections/?p=10" TargetMode="External"/><Relationship Id="rId5" Type="http://schemas.openxmlformats.org/officeDocument/2006/relationships/hyperlink" Target="https://www.postoppain.org/sections/?p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Leuven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Michiels</dc:creator>
  <cp:keywords/>
  <dc:description/>
  <cp:lastModifiedBy>Crossword</cp:lastModifiedBy>
  <cp:revision>3</cp:revision>
  <dcterms:created xsi:type="dcterms:W3CDTF">2018-07-16T09:13:00Z</dcterms:created>
  <dcterms:modified xsi:type="dcterms:W3CDTF">2018-09-12T15:05:00Z</dcterms:modified>
</cp:coreProperties>
</file>