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66A" w:rsidRPr="00560C34" w:rsidRDefault="0091166A" w:rsidP="00E23B48">
      <w:pPr>
        <w:autoSpaceDE w:val="0"/>
        <w:autoSpaceDN w:val="0"/>
        <w:adjustRightInd w:val="0"/>
        <w:spacing w:after="240"/>
        <w:rPr>
          <w:rFonts w:ascii="Times" w:hAnsi="Times" w:cs="Times"/>
          <w:color w:val="000000"/>
          <w:sz w:val="40"/>
          <w:szCs w:val="69"/>
        </w:rPr>
      </w:pPr>
      <w:r w:rsidRPr="00560C34">
        <w:rPr>
          <w:rFonts w:ascii="Times" w:hAnsi="Times" w:cs="Times"/>
          <w:color w:val="000000"/>
          <w:sz w:val="40"/>
          <w:szCs w:val="69"/>
        </w:rPr>
        <w:t>Sumário das Recomendações</w:t>
      </w:r>
    </w:p>
    <w:p w:rsidR="0091166A" w:rsidRDefault="0091166A" w:rsidP="00E23B48">
      <w:pPr>
        <w:autoSpaceDE w:val="0"/>
        <w:autoSpaceDN w:val="0"/>
        <w:adjustRightInd w:val="0"/>
        <w:spacing w:after="240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Notas a acrescentar às recomendações PROSPECT</w:t>
      </w:r>
    </w:p>
    <w:p w:rsidR="0091166A" w:rsidRDefault="0091166A" w:rsidP="00E23B48">
      <w:pPr>
        <w:autoSpaceDE w:val="0"/>
        <w:autoSpaceDN w:val="0"/>
        <w:adjustRightInd w:val="0"/>
        <w:spacing w:after="240"/>
        <w:rPr>
          <w:rFonts w:cstheme="minorHAnsi"/>
          <w:color w:val="000000"/>
          <w:sz w:val="22"/>
          <w:szCs w:val="22"/>
        </w:rPr>
      </w:pPr>
    </w:p>
    <w:p w:rsidR="0091166A" w:rsidRDefault="0091166A" w:rsidP="00E23B48">
      <w:pPr>
        <w:autoSpaceDE w:val="0"/>
        <w:autoSpaceDN w:val="0"/>
        <w:adjustRightInd w:val="0"/>
        <w:spacing w:after="240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A PROSPECT fornece aos clínicos argumentos a favor e contra a utilização de várias intervenções na dor pós-operatória, baseados na evidência publicada e na opinião de peritos. O raciocínio clínico deve assentar nas circunstâncias clínicas e regulamentos locais. A consulta sobre a prescrição local dos fármacos referidos</w:t>
      </w:r>
      <w:r w:rsidR="009155EF">
        <w:rPr>
          <w:rFonts w:cstheme="minorHAnsi"/>
          <w:color w:val="000000"/>
          <w:sz w:val="22"/>
          <w:szCs w:val="22"/>
        </w:rPr>
        <w:t>,</w:t>
      </w:r>
      <w:r>
        <w:rPr>
          <w:rFonts w:cstheme="minorHAnsi"/>
          <w:color w:val="000000"/>
          <w:sz w:val="22"/>
          <w:szCs w:val="22"/>
        </w:rPr>
        <w:t xml:space="preserve"> deve ser </w:t>
      </w:r>
      <w:r w:rsidR="009155EF">
        <w:rPr>
          <w:rFonts w:cstheme="minorHAnsi"/>
          <w:color w:val="000000"/>
          <w:sz w:val="22"/>
          <w:szCs w:val="22"/>
        </w:rPr>
        <w:t>feita</w:t>
      </w:r>
      <w:r>
        <w:rPr>
          <w:rFonts w:cstheme="minorHAnsi"/>
          <w:color w:val="000000"/>
          <w:sz w:val="22"/>
          <w:szCs w:val="22"/>
        </w:rPr>
        <w:t xml:space="preserve"> em todos os momentos.</w:t>
      </w:r>
      <w:r w:rsidR="009155EF">
        <w:rPr>
          <w:rFonts w:cstheme="minorHAnsi"/>
          <w:color w:val="000000"/>
          <w:sz w:val="22"/>
          <w:szCs w:val="22"/>
        </w:rPr>
        <w:t xml:space="preserve"> Os graus de recomendação (</w:t>
      </w:r>
      <w:proofErr w:type="spellStart"/>
      <w:r w:rsidR="009155EF">
        <w:rPr>
          <w:rFonts w:cstheme="minorHAnsi"/>
          <w:color w:val="000000"/>
          <w:sz w:val="22"/>
          <w:szCs w:val="22"/>
        </w:rPr>
        <w:t>GoR</w:t>
      </w:r>
      <w:proofErr w:type="spellEnd"/>
      <w:r w:rsidR="009155EF">
        <w:rPr>
          <w:rFonts w:cstheme="minorHAnsi"/>
          <w:color w:val="000000"/>
          <w:sz w:val="22"/>
          <w:szCs w:val="22"/>
        </w:rPr>
        <w:t>) são designados de acordo com os níveis de evidência (</w:t>
      </w:r>
      <w:proofErr w:type="spellStart"/>
      <w:r w:rsidR="009155EF">
        <w:rPr>
          <w:rFonts w:cstheme="minorHAnsi"/>
          <w:color w:val="000000"/>
          <w:sz w:val="22"/>
          <w:szCs w:val="22"/>
        </w:rPr>
        <w:t>LoE</w:t>
      </w:r>
      <w:proofErr w:type="spellEnd"/>
      <w:r w:rsidR="009155EF">
        <w:rPr>
          <w:rFonts w:cstheme="minorHAnsi"/>
          <w:color w:val="000000"/>
          <w:sz w:val="22"/>
          <w:szCs w:val="22"/>
        </w:rPr>
        <w:t xml:space="preserve">) sobre os quais as recomendações são construídas, os quais são que são determinados pela qualidade e fonte de evidência. </w:t>
      </w:r>
    </w:p>
    <w:p w:rsidR="009155EF" w:rsidRPr="00F312D7" w:rsidRDefault="00F312D7" w:rsidP="00E23B48">
      <w:pPr>
        <w:autoSpaceDE w:val="0"/>
        <w:autoSpaceDN w:val="0"/>
        <w:adjustRightInd w:val="0"/>
        <w:spacing w:after="240"/>
        <w:rPr>
          <w:rFonts w:cstheme="minorHAnsi"/>
          <w:b/>
          <w:color w:val="000000"/>
          <w:sz w:val="22"/>
          <w:szCs w:val="22"/>
        </w:rPr>
      </w:pPr>
      <w:r w:rsidRPr="00F312D7">
        <w:rPr>
          <w:rFonts w:cstheme="minorHAnsi"/>
          <w:b/>
          <w:color w:val="000000"/>
          <w:sz w:val="22"/>
          <w:szCs w:val="22"/>
        </w:rPr>
        <w:t>Graus de recomendação (</w:t>
      </w:r>
      <w:proofErr w:type="spellStart"/>
      <w:r w:rsidRPr="00F312D7">
        <w:rPr>
          <w:rFonts w:cstheme="minorHAnsi"/>
          <w:b/>
          <w:color w:val="000000"/>
          <w:sz w:val="22"/>
          <w:szCs w:val="22"/>
        </w:rPr>
        <w:t>GoR</w:t>
      </w:r>
      <w:proofErr w:type="spellEnd"/>
      <w:r w:rsidRPr="00F312D7">
        <w:rPr>
          <w:rFonts w:cstheme="minorHAnsi"/>
          <w:b/>
          <w:color w:val="000000"/>
          <w:sz w:val="22"/>
          <w:szCs w:val="22"/>
        </w:rPr>
        <w:t>) baseados na fonte e nível de evidência (</w:t>
      </w:r>
      <w:proofErr w:type="spellStart"/>
      <w:r w:rsidRPr="00F312D7">
        <w:rPr>
          <w:rFonts w:cstheme="minorHAnsi"/>
          <w:b/>
          <w:color w:val="000000"/>
          <w:sz w:val="22"/>
          <w:szCs w:val="22"/>
        </w:rPr>
        <w:t>LoE</w:t>
      </w:r>
      <w:proofErr w:type="spellEnd"/>
      <w:r w:rsidRPr="00F312D7">
        <w:rPr>
          <w:rFonts w:cstheme="minorHAnsi"/>
          <w:b/>
          <w:color w:val="000000"/>
          <w:sz w:val="22"/>
          <w:szCs w:val="22"/>
        </w:rPr>
        <w:t>): Tabela Sumário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992"/>
        <w:gridCol w:w="2410"/>
        <w:gridCol w:w="1603"/>
      </w:tblGrid>
      <w:tr w:rsidR="009155EF" w:rsidRPr="00F312D7" w:rsidTr="00A0025A">
        <w:trPr>
          <w:trHeight w:val="1039"/>
          <w:jc w:val="center"/>
        </w:trPr>
        <w:tc>
          <w:tcPr>
            <w:tcW w:w="3823" w:type="dxa"/>
            <w:vMerge w:val="restart"/>
            <w:shd w:val="clear" w:color="auto" w:fill="9CC2E5" w:themeFill="accent5" w:themeFillTint="99"/>
            <w:vAlign w:val="center"/>
          </w:tcPr>
          <w:p w:rsidR="009155EF" w:rsidRPr="00046074" w:rsidRDefault="009155EF" w:rsidP="0004607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2"/>
              </w:rPr>
            </w:pPr>
            <w:r w:rsidRPr="00046074">
              <w:rPr>
                <w:rFonts w:cstheme="minorHAnsi"/>
                <w:b/>
                <w:color w:val="000000"/>
                <w:sz w:val="20"/>
                <w:szCs w:val="22"/>
              </w:rPr>
              <w:t>Tipo de Estudo</w:t>
            </w:r>
          </w:p>
        </w:tc>
        <w:tc>
          <w:tcPr>
            <w:tcW w:w="992" w:type="dxa"/>
            <w:vMerge w:val="restart"/>
            <w:shd w:val="clear" w:color="auto" w:fill="9CC2E5" w:themeFill="accent5" w:themeFillTint="99"/>
            <w:vAlign w:val="center"/>
          </w:tcPr>
          <w:p w:rsidR="009155EF" w:rsidRPr="00046074" w:rsidRDefault="009155EF" w:rsidP="0004607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2"/>
              </w:rPr>
            </w:pPr>
            <w:proofErr w:type="spellStart"/>
            <w:r w:rsidRPr="00046074">
              <w:rPr>
                <w:rFonts w:cstheme="minorHAnsi"/>
                <w:b/>
                <w:color w:val="000000"/>
                <w:sz w:val="20"/>
                <w:szCs w:val="22"/>
              </w:rPr>
              <w:t>LoE</w:t>
            </w:r>
            <w:proofErr w:type="spellEnd"/>
          </w:p>
        </w:tc>
        <w:tc>
          <w:tcPr>
            <w:tcW w:w="4013" w:type="dxa"/>
            <w:gridSpan w:val="2"/>
            <w:shd w:val="clear" w:color="auto" w:fill="9CC2E5" w:themeFill="accent5" w:themeFillTint="99"/>
            <w:vAlign w:val="center"/>
          </w:tcPr>
          <w:p w:rsidR="00046074" w:rsidRDefault="009155EF" w:rsidP="0004607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2"/>
              </w:rPr>
            </w:pPr>
            <w:proofErr w:type="spellStart"/>
            <w:r w:rsidRPr="00046074">
              <w:rPr>
                <w:rFonts w:cstheme="minorHAnsi"/>
                <w:b/>
                <w:color w:val="000000"/>
                <w:sz w:val="20"/>
                <w:szCs w:val="22"/>
              </w:rPr>
              <w:t>GoR</w:t>
            </w:r>
            <w:proofErr w:type="spellEnd"/>
            <w:r w:rsidRPr="00046074">
              <w:rPr>
                <w:rFonts w:cstheme="minorHAnsi"/>
                <w:b/>
                <w:color w:val="000000"/>
                <w:sz w:val="20"/>
                <w:szCs w:val="22"/>
              </w:rPr>
              <w:t xml:space="preserve"> </w:t>
            </w:r>
          </w:p>
          <w:p w:rsidR="009155EF" w:rsidRPr="00046074" w:rsidRDefault="009155EF" w:rsidP="0004607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2"/>
              </w:rPr>
            </w:pPr>
            <w:r w:rsidRPr="00046074">
              <w:rPr>
                <w:rFonts w:cstheme="minorHAnsi"/>
                <w:b/>
                <w:color w:val="000000"/>
                <w:sz w:val="20"/>
                <w:szCs w:val="22"/>
              </w:rPr>
              <w:t xml:space="preserve">(baseado em </w:t>
            </w:r>
            <w:proofErr w:type="spellStart"/>
            <w:r w:rsidRPr="00046074">
              <w:rPr>
                <w:rFonts w:cstheme="minorHAnsi"/>
                <w:b/>
                <w:color w:val="000000"/>
                <w:sz w:val="20"/>
                <w:szCs w:val="22"/>
              </w:rPr>
              <w:t>LoE</w:t>
            </w:r>
            <w:proofErr w:type="spellEnd"/>
            <w:r w:rsidRPr="00046074">
              <w:rPr>
                <w:rFonts w:cstheme="minorHAnsi"/>
                <w:b/>
                <w:color w:val="000000"/>
                <w:sz w:val="20"/>
                <w:szCs w:val="22"/>
              </w:rPr>
              <w:t xml:space="preserve"> gerais, considerando um </w:t>
            </w:r>
            <w:r w:rsidR="00E23B48" w:rsidRPr="00046074">
              <w:rPr>
                <w:rFonts w:cstheme="minorHAnsi"/>
                <w:b/>
                <w:color w:val="000000"/>
                <w:sz w:val="20"/>
                <w:szCs w:val="22"/>
              </w:rPr>
              <w:t>equilíbrio entre</w:t>
            </w:r>
            <w:r w:rsidRPr="00046074">
              <w:rPr>
                <w:rFonts w:cstheme="minorHAnsi"/>
                <w:b/>
                <w:color w:val="000000"/>
                <w:sz w:val="20"/>
                <w:szCs w:val="22"/>
              </w:rPr>
              <w:t xml:space="preserve"> informação da prática clínica e evidência)</w:t>
            </w:r>
          </w:p>
        </w:tc>
      </w:tr>
      <w:tr w:rsidR="009155EF" w:rsidRPr="00F312D7" w:rsidTr="00A0025A">
        <w:trPr>
          <w:trHeight w:val="146"/>
          <w:jc w:val="center"/>
        </w:trPr>
        <w:tc>
          <w:tcPr>
            <w:tcW w:w="3823" w:type="dxa"/>
            <w:vMerge/>
            <w:vAlign w:val="center"/>
          </w:tcPr>
          <w:p w:rsidR="009155EF" w:rsidRPr="00046074" w:rsidRDefault="009155EF" w:rsidP="0004607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9155EF" w:rsidRPr="00046074" w:rsidRDefault="009155EF" w:rsidP="0004607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  <w:shd w:val="clear" w:color="auto" w:fill="9CC2E5" w:themeFill="accent5" w:themeFillTint="99"/>
            <w:vAlign w:val="center"/>
          </w:tcPr>
          <w:p w:rsidR="009155EF" w:rsidRPr="00046074" w:rsidRDefault="00E23B48" w:rsidP="0004607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2"/>
              </w:rPr>
            </w:pPr>
            <w:r w:rsidRPr="00046074">
              <w:rPr>
                <w:rFonts w:cstheme="minorHAnsi"/>
                <w:b/>
                <w:color w:val="000000"/>
                <w:sz w:val="20"/>
                <w:szCs w:val="22"/>
              </w:rPr>
              <w:t>Pro</w:t>
            </w:r>
            <w:r w:rsidR="009155EF" w:rsidRPr="00046074">
              <w:rPr>
                <w:rFonts w:cstheme="minorHAnsi"/>
                <w:b/>
                <w:color w:val="000000"/>
                <w:sz w:val="20"/>
                <w:szCs w:val="22"/>
              </w:rPr>
              <w:t>cedimento-específico</w:t>
            </w:r>
          </w:p>
        </w:tc>
        <w:tc>
          <w:tcPr>
            <w:tcW w:w="1603" w:type="dxa"/>
            <w:shd w:val="clear" w:color="auto" w:fill="9CC2E5" w:themeFill="accent5" w:themeFillTint="99"/>
            <w:vAlign w:val="center"/>
          </w:tcPr>
          <w:p w:rsidR="009155EF" w:rsidRPr="00046074" w:rsidRDefault="003C48C5" w:rsidP="0004607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2"/>
              </w:rPr>
            </w:pPr>
            <w:r w:rsidRPr="00046074">
              <w:rPr>
                <w:rFonts w:cstheme="minorHAnsi"/>
                <w:b/>
                <w:color w:val="000000"/>
                <w:sz w:val="20"/>
                <w:szCs w:val="22"/>
              </w:rPr>
              <w:t>Transmissível</w:t>
            </w:r>
          </w:p>
        </w:tc>
      </w:tr>
      <w:tr w:rsidR="009155EF" w:rsidRPr="00F312D7" w:rsidTr="00A0025A">
        <w:trPr>
          <w:trHeight w:val="379"/>
          <w:jc w:val="center"/>
        </w:trPr>
        <w:tc>
          <w:tcPr>
            <w:tcW w:w="3823" w:type="dxa"/>
            <w:shd w:val="clear" w:color="auto" w:fill="9CC2E5" w:themeFill="accent5" w:themeFillTint="99"/>
            <w:vAlign w:val="center"/>
          </w:tcPr>
          <w:p w:rsidR="003C48C5" w:rsidRPr="00046074" w:rsidRDefault="003C48C5" w:rsidP="0004607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2"/>
              </w:rPr>
            </w:pPr>
            <w:r w:rsidRPr="00046074">
              <w:rPr>
                <w:rFonts w:cstheme="minorHAnsi"/>
                <w:b/>
                <w:color w:val="000000"/>
                <w:sz w:val="20"/>
                <w:szCs w:val="22"/>
              </w:rPr>
              <w:t>Revisão sistemática com resultados homogéneos</w:t>
            </w:r>
          </w:p>
        </w:tc>
        <w:tc>
          <w:tcPr>
            <w:tcW w:w="992" w:type="dxa"/>
            <w:shd w:val="clear" w:color="auto" w:fill="DEEAF6" w:themeFill="accent5" w:themeFillTint="33"/>
            <w:vAlign w:val="center"/>
          </w:tcPr>
          <w:p w:rsidR="009155EF" w:rsidRPr="00F312D7" w:rsidRDefault="00F312D7" w:rsidP="0004607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22"/>
              </w:rPr>
            </w:pPr>
            <w:r>
              <w:rPr>
                <w:rFonts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2410" w:type="dxa"/>
            <w:shd w:val="clear" w:color="auto" w:fill="DEEAF6" w:themeFill="accent5" w:themeFillTint="33"/>
            <w:vAlign w:val="center"/>
          </w:tcPr>
          <w:p w:rsidR="009155EF" w:rsidRPr="00F312D7" w:rsidRDefault="00F312D7" w:rsidP="0004607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22"/>
              </w:rPr>
            </w:pPr>
            <w:r>
              <w:rPr>
                <w:rFonts w:cstheme="minorHAnsi"/>
                <w:color w:val="000000"/>
                <w:sz w:val="18"/>
                <w:szCs w:val="22"/>
              </w:rPr>
              <w:t>A</w:t>
            </w:r>
          </w:p>
        </w:tc>
        <w:tc>
          <w:tcPr>
            <w:tcW w:w="1603" w:type="dxa"/>
            <w:shd w:val="clear" w:color="auto" w:fill="DEEAF6" w:themeFill="accent5" w:themeFillTint="33"/>
            <w:vAlign w:val="center"/>
          </w:tcPr>
          <w:p w:rsidR="009155EF" w:rsidRPr="00F312D7" w:rsidRDefault="00F312D7" w:rsidP="0004607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22"/>
              </w:rPr>
            </w:pPr>
            <w:r>
              <w:rPr>
                <w:rFonts w:cstheme="minorHAnsi"/>
                <w:color w:val="000000"/>
                <w:sz w:val="18"/>
                <w:szCs w:val="22"/>
              </w:rPr>
              <w:t>B</w:t>
            </w:r>
          </w:p>
        </w:tc>
      </w:tr>
      <w:tr w:rsidR="009155EF" w:rsidRPr="00F312D7" w:rsidTr="00A0025A">
        <w:trPr>
          <w:jc w:val="center"/>
        </w:trPr>
        <w:tc>
          <w:tcPr>
            <w:tcW w:w="3823" w:type="dxa"/>
            <w:shd w:val="clear" w:color="auto" w:fill="9CC2E5" w:themeFill="accent5" w:themeFillTint="99"/>
            <w:vAlign w:val="center"/>
          </w:tcPr>
          <w:p w:rsidR="009155EF" w:rsidRPr="00046074" w:rsidRDefault="003C48C5" w:rsidP="0004607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2"/>
              </w:rPr>
            </w:pPr>
            <w:r w:rsidRPr="00046074">
              <w:rPr>
                <w:rFonts w:cstheme="minorHAnsi"/>
                <w:b/>
                <w:color w:val="000000"/>
                <w:sz w:val="20"/>
                <w:szCs w:val="22"/>
              </w:rPr>
              <w:t>Ensaios controlados e randomizados (RCT) – alta qualidade</w:t>
            </w:r>
          </w:p>
        </w:tc>
        <w:tc>
          <w:tcPr>
            <w:tcW w:w="992" w:type="dxa"/>
            <w:shd w:val="clear" w:color="auto" w:fill="BDD6EE" w:themeFill="accent5" w:themeFillTint="66"/>
            <w:vAlign w:val="center"/>
          </w:tcPr>
          <w:p w:rsidR="009155EF" w:rsidRPr="00F312D7" w:rsidRDefault="00F312D7" w:rsidP="0004607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22"/>
              </w:rPr>
            </w:pPr>
            <w:r>
              <w:rPr>
                <w:rFonts w:cstheme="minorHAnsi"/>
                <w:color w:val="000000"/>
                <w:sz w:val="18"/>
                <w:szCs w:val="22"/>
              </w:rPr>
              <w:t xml:space="preserve">1 </w:t>
            </w:r>
          </w:p>
        </w:tc>
        <w:tc>
          <w:tcPr>
            <w:tcW w:w="2410" w:type="dxa"/>
            <w:shd w:val="clear" w:color="auto" w:fill="BDD6EE" w:themeFill="accent5" w:themeFillTint="66"/>
            <w:vAlign w:val="center"/>
          </w:tcPr>
          <w:p w:rsidR="009155EF" w:rsidRDefault="00F312D7" w:rsidP="0004607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22"/>
              </w:rPr>
            </w:pPr>
            <w:r>
              <w:rPr>
                <w:rFonts w:cstheme="minorHAnsi"/>
                <w:color w:val="000000"/>
                <w:sz w:val="18"/>
                <w:szCs w:val="22"/>
              </w:rPr>
              <w:t>A</w:t>
            </w:r>
          </w:p>
          <w:p w:rsidR="00F312D7" w:rsidRPr="00F312D7" w:rsidRDefault="00F312D7" w:rsidP="0004607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22"/>
              </w:rPr>
            </w:pPr>
            <w:r>
              <w:rPr>
                <w:rFonts w:cstheme="minorHAnsi"/>
                <w:color w:val="000000"/>
                <w:sz w:val="18"/>
                <w:szCs w:val="22"/>
              </w:rPr>
              <w:t>(baseado em 1 ou mais estudos, ou num único grande e bem desenhado)</w:t>
            </w:r>
          </w:p>
        </w:tc>
        <w:tc>
          <w:tcPr>
            <w:tcW w:w="1603" w:type="dxa"/>
            <w:shd w:val="clear" w:color="auto" w:fill="BDD6EE" w:themeFill="accent5" w:themeFillTint="66"/>
            <w:vAlign w:val="center"/>
          </w:tcPr>
          <w:p w:rsidR="009155EF" w:rsidRPr="00F312D7" w:rsidRDefault="00F312D7" w:rsidP="0004607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22"/>
              </w:rPr>
            </w:pPr>
            <w:r>
              <w:rPr>
                <w:rFonts w:cstheme="minorHAnsi"/>
                <w:color w:val="000000"/>
                <w:sz w:val="18"/>
                <w:szCs w:val="22"/>
              </w:rPr>
              <w:t>B</w:t>
            </w:r>
          </w:p>
        </w:tc>
      </w:tr>
      <w:tr w:rsidR="009155EF" w:rsidRPr="00F312D7" w:rsidTr="00A0025A">
        <w:trPr>
          <w:jc w:val="center"/>
        </w:trPr>
        <w:tc>
          <w:tcPr>
            <w:tcW w:w="3823" w:type="dxa"/>
            <w:shd w:val="clear" w:color="auto" w:fill="9CC2E5" w:themeFill="accent5" w:themeFillTint="99"/>
            <w:vAlign w:val="center"/>
          </w:tcPr>
          <w:p w:rsidR="009155EF" w:rsidRPr="00046074" w:rsidRDefault="003C48C5" w:rsidP="0004607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2"/>
              </w:rPr>
            </w:pPr>
            <w:r w:rsidRPr="00046074">
              <w:rPr>
                <w:rFonts w:cstheme="minorHAnsi"/>
                <w:b/>
                <w:color w:val="000000"/>
                <w:sz w:val="20"/>
                <w:szCs w:val="22"/>
              </w:rPr>
              <w:t xml:space="preserve">RCT com limitações na metodologia ou </w:t>
            </w:r>
            <w:r w:rsidR="00FA43DC" w:rsidRPr="00046074">
              <w:rPr>
                <w:rFonts w:cstheme="minorHAnsi"/>
                <w:b/>
                <w:color w:val="000000"/>
                <w:sz w:val="20"/>
                <w:szCs w:val="22"/>
              </w:rPr>
              <w:t>avaliação</w:t>
            </w:r>
          </w:p>
        </w:tc>
        <w:tc>
          <w:tcPr>
            <w:tcW w:w="992" w:type="dxa"/>
            <w:shd w:val="clear" w:color="auto" w:fill="DEEAF6" w:themeFill="accent5" w:themeFillTint="33"/>
            <w:vAlign w:val="center"/>
          </w:tcPr>
          <w:p w:rsidR="009155EF" w:rsidRPr="00F312D7" w:rsidRDefault="00F312D7" w:rsidP="0004607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22"/>
              </w:rPr>
            </w:pPr>
            <w:r>
              <w:rPr>
                <w:rFonts w:cstheme="minorHAnsi"/>
                <w:color w:val="000000"/>
                <w:sz w:val="18"/>
                <w:szCs w:val="22"/>
              </w:rPr>
              <w:t>2</w:t>
            </w:r>
          </w:p>
        </w:tc>
        <w:tc>
          <w:tcPr>
            <w:tcW w:w="2410" w:type="dxa"/>
            <w:shd w:val="clear" w:color="auto" w:fill="DEEAF6" w:themeFill="accent5" w:themeFillTint="33"/>
            <w:vAlign w:val="center"/>
          </w:tcPr>
          <w:p w:rsidR="009155EF" w:rsidRDefault="00F312D7" w:rsidP="0004607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22"/>
              </w:rPr>
            </w:pPr>
            <w:r>
              <w:rPr>
                <w:rFonts w:cstheme="minorHAnsi"/>
                <w:color w:val="000000"/>
                <w:sz w:val="18"/>
                <w:szCs w:val="22"/>
              </w:rPr>
              <w:t>B</w:t>
            </w:r>
          </w:p>
          <w:p w:rsidR="00F312D7" w:rsidRPr="00F312D7" w:rsidRDefault="00F312D7" w:rsidP="0004607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22"/>
              </w:rPr>
            </w:pPr>
            <w:r>
              <w:rPr>
                <w:rFonts w:cstheme="minorHAnsi"/>
                <w:color w:val="000000"/>
                <w:sz w:val="18"/>
                <w:szCs w:val="22"/>
              </w:rPr>
              <w:t>(ou extrapolação a partir de um estudo de LoE1 procedimento-específico)</w:t>
            </w:r>
          </w:p>
        </w:tc>
        <w:tc>
          <w:tcPr>
            <w:tcW w:w="1603" w:type="dxa"/>
            <w:shd w:val="clear" w:color="auto" w:fill="DEEAF6" w:themeFill="accent5" w:themeFillTint="33"/>
            <w:vAlign w:val="center"/>
          </w:tcPr>
          <w:p w:rsidR="009155EF" w:rsidRPr="00F312D7" w:rsidRDefault="00F312D7" w:rsidP="0004607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22"/>
              </w:rPr>
            </w:pPr>
            <w:r>
              <w:rPr>
                <w:rFonts w:cstheme="minorHAnsi"/>
                <w:color w:val="000000"/>
                <w:sz w:val="18"/>
                <w:szCs w:val="22"/>
              </w:rPr>
              <w:t>C</w:t>
            </w:r>
          </w:p>
        </w:tc>
      </w:tr>
      <w:tr w:rsidR="00F312D7" w:rsidRPr="00F312D7" w:rsidTr="00A0025A">
        <w:trPr>
          <w:jc w:val="center"/>
        </w:trPr>
        <w:tc>
          <w:tcPr>
            <w:tcW w:w="3823" w:type="dxa"/>
            <w:shd w:val="clear" w:color="auto" w:fill="9CC2E5" w:themeFill="accent5" w:themeFillTint="99"/>
            <w:vAlign w:val="center"/>
          </w:tcPr>
          <w:p w:rsidR="00F312D7" w:rsidRPr="00046074" w:rsidRDefault="00F312D7" w:rsidP="0004607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2"/>
              </w:rPr>
            </w:pPr>
            <w:r w:rsidRPr="00046074">
              <w:rPr>
                <w:rFonts w:cstheme="minorHAnsi"/>
                <w:b/>
                <w:color w:val="000000"/>
                <w:sz w:val="20"/>
                <w:szCs w:val="22"/>
              </w:rPr>
              <w:t>Revisões não-sistematizadas, estudos de coorte, estudo de casos</w:t>
            </w:r>
          </w:p>
          <w:p w:rsidR="00F312D7" w:rsidRPr="00046074" w:rsidRDefault="00F312D7" w:rsidP="0004607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2"/>
              </w:rPr>
            </w:pPr>
            <w:r w:rsidRPr="00046074">
              <w:rPr>
                <w:rFonts w:cstheme="minorHAnsi"/>
                <w:b/>
                <w:color w:val="000000"/>
                <w:sz w:val="20"/>
                <w:szCs w:val="22"/>
              </w:rPr>
              <w:t>(p.e. alguma evidência de efeitos adversos)</w:t>
            </w:r>
          </w:p>
        </w:tc>
        <w:tc>
          <w:tcPr>
            <w:tcW w:w="992" w:type="dxa"/>
            <w:shd w:val="clear" w:color="auto" w:fill="BDD6EE" w:themeFill="accent5" w:themeFillTint="66"/>
            <w:vAlign w:val="center"/>
          </w:tcPr>
          <w:p w:rsidR="00F312D7" w:rsidRPr="00F312D7" w:rsidRDefault="00F312D7" w:rsidP="0004607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22"/>
              </w:rPr>
            </w:pPr>
            <w:r>
              <w:rPr>
                <w:rFonts w:cstheme="minorHAnsi"/>
                <w:color w:val="000000"/>
                <w:sz w:val="18"/>
                <w:szCs w:val="22"/>
              </w:rPr>
              <w:t>3</w:t>
            </w:r>
          </w:p>
        </w:tc>
        <w:tc>
          <w:tcPr>
            <w:tcW w:w="4013" w:type="dxa"/>
            <w:gridSpan w:val="2"/>
            <w:shd w:val="clear" w:color="auto" w:fill="BDD6EE" w:themeFill="accent5" w:themeFillTint="66"/>
            <w:vAlign w:val="center"/>
          </w:tcPr>
          <w:p w:rsidR="00F312D7" w:rsidRPr="00F312D7" w:rsidRDefault="00F312D7" w:rsidP="0004607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22"/>
              </w:rPr>
            </w:pPr>
            <w:r>
              <w:rPr>
                <w:rFonts w:cstheme="minorHAnsi"/>
                <w:color w:val="000000"/>
                <w:sz w:val="18"/>
                <w:szCs w:val="22"/>
              </w:rPr>
              <w:t>C</w:t>
            </w:r>
          </w:p>
        </w:tc>
      </w:tr>
      <w:tr w:rsidR="00F312D7" w:rsidRPr="00F312D7" w:rsidTr="00A0025A">
        <w:trPr>
          <w:jc w:val="center"/>
        </w:trPr>
        <w:tc>
          <w:tcPr>
            <w:tcW w:w="3823" w:type="dxa"/>
            <w:shd w:val="clear" w:color="auto" w:fill="9CC2E5" w:themeFill="accent5" w:themeFillTint="99"/>
            <w:vAlign w:val="center"/>
          </w:tcPr>
          <w:p w:rsidR="00F312D7" w:rsidRPr="00046074" w:rsidRDefault="00F312D7" w:rsidP="0004607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2"/>
              </w:rPr>
            </w:pPr>
            <w:r w:rsidRPr="00046074">
              <w:rPr>
                <w:rFonts w:cstheme="minorHAnsi"/>
                <w:b/>
                <w:color w:val="000000"/>
                <w:sz w:val="20"/>
                <w:szCs w:val="22"/>
              </w:rPr>
              <w:t>Informação da prática clínica (opinião de peritos); evidência não consistente</w:t>
            </w:r>
          </w:p>
        </w:tc>
        <w:tc>
          <w:tcPr>
            <w:tcW w:w="992" w:type="dxa"/>
            <w:shd w:val="clear" w:color="auto" w:fill="DEEAF6" w:themeFill="accent5" w:themeFillTint="33"/>
            <w:vAlign w:val="center"/>
          </w:tcPr>
          <w:p w:rsidR="00F312D7" w:rsidRPr="00F312D7" w:rsidRDefault="00F312D7" w:rsidP="0004607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22"/>
              </w:rPr>
            </w:pPr>
            <w:r>
              <w:rPr>
                <w:rFonts w:cstheme="minorHAnsi"/>
                <w:color w:val="000000"/>
                <w:sz w:val="18"/>
                <w:szCs w:val="22"/>
              </w:rPr>
              <w:t>4</w:t>
            </w:r>
          </w:p>
        </w:tc>
        <w:tc>
          <w:tcPr>
            <w:tcW w:w="4013" w:type="dxa"/>
            <w:gridSpan w:val="2"/>
            <w:shd w:val="clear" w:color="auto" w:fill="DEEAF6" w:themeFill="accent5" w:themeFillTint="33"/>
            <w:vAlign w:val="center"/>
          </w:tcPr>
          <w:p w:rsidR="00F312D7" w:rsidRPr="00F312D7" w:rsidRDefault="00F312D7" w:rsidP="0004607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22"/>
              </w:rPr>
            </w:pPr>
            <w:r>
              <w:rPr>
                <w:rFonts w:cstheme="minorHAnsi"/>
                <w:color w:val="000000"/>
                <w:sz w:val="18"/>
                <w:szCs w:val="22"/>
              </w:rPr>
              <w:t>D</w:t>
            </w:r>
          </w:p>
        </w:tc>
      </w:tr>
    </w:tbl>
    <w:p w:rsidR="009155EF" w:rsidRDefault="009155EF" w:rsidP="00E23B48">
      <w:pPr>
        <w:autoSpaceDE w:val="0"/>
        <w:autoSpaceDN w:val="0"/>
        <w:adjustRightInd w:val="0"/>
        <w:spacing w:after="240"/>
        <w:rPr>
          <w:rFonts w:cstheme="minorHAnsi"/>
          <w:color w:val="000000"/>
          <w:sz w:val="22"/>
          <w:szCs w:val="22"/>
        </w:rPr>
      </w:pPr>
    </w:p>
    <w:p w:rsidR="008C14D8" w:rsidRDefault="008C14D8" w:rsidP="00E23B48">
      <w:pPr>
        <w:autoSpaceDE w:val="0"/>
        <w:autoSpaceDN w:val="0"/>
        <w:adjustRightInd w:val="0"/>
        <w:spacing w:after="240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Seguindo o seguinte link: Cesariana: níveis de evidência e</w:t>
      </w:r>
      <w:r w:rsidR="00046074">
        <w:rPr>
          <w:rFonts w:cstheme="minorHAnsi"/>
          <w:color w:val="000000"/>
          <w:sz w:val="22"/>
          <w:szCs w:val="22"/>
        </w:rPr>
        <w:t xml:space="preserve"> graus de recomendação</w:t>
      </w:r>
      <w:r w:rsidR="00A0025A">
        <w:rPr>
          <w:rFonts w:cstheme="minorHAnsi"/>
          <w:color w:val="000000"/>
          <w:sz w:val="22"/>
          <w:szCs w:val="22"/>
        </w:rPr>
        <w:t xml:space="preserve"> </w:t>
      </w:r>
      <w:proofErr w:type="gramStart"/>
      <w:r w:rsidR="00A0025A">
        <w:rPr>
          <w:rFonts w:cstheme="minorHAnsi"/>
          <w:color w:val="000000"/>
          <w:sz w:val="22"/>
          <w:szCs w:val="22"/>
        </w:rPr>
        <w:t>(?p</w:t>
      </w:r>
      <w:proofErr w:type="gramEnd"/>
      <w:r w:rsidR="00A0025A">
        <w:rPr>
          <w:rFonts w:cstheme="minorHAnsi"/>
          <w:color w:val="000000"/>
          <w:sz w:val="22"/>
          <w:szCs w:val="22"/>
        </w:rPr>
        <w:t xml:space="preserve">=144) pode </w:t>
      </w:r>
      <w:r w:rsidR="00046074">
        <w:rPr>
          <w:rFonts w:cstheme="minorHAnsi"/>
          <w:color w:val="000000"/>
          <w:sz w:val="22"/>
          <w:szCs w:val="22"/>
        </w:rPr>
        <w:t xml:space="preserve">ser encontrada a explicação como </w:t>
      </w:r>
      <w:r w:rsidR="00A0025A">
        <w:rPr>
          <w:rFonts w:cstheme="minorHAnsi"/>
          <w:color w:val="000000"/>
          <w:sz w:val="22"/>
          <w:szCs w:val="22"/>
        </w:rPr>
        <w:t xml:space="preserve">a avaliação da qualidade dos estudos é feita para determinar o </w:t>
      </w:r>
      <w:proofErr w:type="spellStart"/>
      <w:r w:rsidR="00A0025A">
        <w:rPr>
          <w:rFonts w:cstheme="minorHAnsi"/>
          <w:color w:val="000000"/>
          <w:sz w:val="22"/>
          <w:szCs w:val="22"/>
        </w:rPr>
        <w:t>LoE</w:t>
      </w:r>
      <w:proofErr w:type="spellEnd"/>
      <w:r w:rsidR="00A0025A">
        <w:rPr>
          <w:rFonts w:cstheme="minorHAnsi"/>
          <w:color w:val="000000"/>
          <w:sz w:val="22"/>
          <w:szCs w:val="22"/>
        </w:rPr>
        <w:t xml:space="preserve"> e </w:t>
      </w:r>
      <w:proofErr w:type="spellStart"/>
      <w:r w:rsidR="00A0025A">
        <w:rPr>
          <w:rFonts w:cstheme="minorHAnsi"/>
          <w:color w:val="000000"/>
          <w:sz w:val="22"/>
          <w:szCs w:val="22"/>
        </w:rPr>
        <w:t>GoR</w:t>
      </w:r>
      <w:proofErr w:type="spellEnd"/>
      <w:r w:rsidR="00A0025A">
        <w:rPr>
          <w:rFonts w:cstheme="minorHAnsi"/>
          <w:color w:val="000000"/>
          <w:sz w:val="22"/>
          <w:szCs w:val="22"/>
        </w:rPr>
        <w:t>.</w:t>
      </w:r>
    </w:p>
    <w:p w:rsidR="00E23B48" w:rsidRDefault="008C14D8" w:rsidP="00E23B48">
      <w:pPr>
        <w:autoSpaceDE w:val="0"/>
        <w:autoSpaceDN w:val="0"/>
        <w:adjustRightInd w:val="0"/>
        <w:spacing w:after="240"/>
        <w:rPr>
          <w:rFonts w:cstheme="minorHAnsi"/>
          <w:color w:val="000000"/>
          <w:sz w:val="22"/>
          <w:szCs w:val="22"/>
        </w:rPr>
      </w:pPr>
      <w:r w:rsidRPr="008C14D8">
        <w:rPr>
          <w:rFonts w:cstheme="minorHAnsi"/>
          <w:color w:val="000000"/>
          <w:sz w:val="22"/>
          <w:szCs w:val="22"/>
        </w:rPr>
        <w:t>O instrumento AGREE II (</w:t>
      </w:r>
      <w:proofErr w:type="spellStart"/>
      <w:r w:rsidRPr="008C14D8">
        <w:rPr>
          <w:rFonts w:cstheme="minorHAnsi"/>
          <w:color w:val="000000"/>
          <w:sz w:val="22"/>
          <w:szCs w:val="22"/>
        </w:rPr>
        <w:t>Browers</w:t>
      </w:r>
      <w:proofErr w:type="spellEnd"/>
      <w:r w:rsidRPr="008C14D8">
        <w:rPr>
          <w:rFonts w:cstheme="minorHAnsi"/>
          <w:color w:val="000000"/>
          <w:sz w:val="22"/>
          <w:szCs w:val="22"/>
        </w:rPr>
        <w:t xml:space="preserve"> 2010 (</w:t>
      </w:r>
      <w:proofErr w:type="gramStart"/>
      <w:r w:rsidRPr="008C14D8">
        <w:rPr>
          <w:rFonts w:cstheme="minorHAnsi"/>
          <w:color w:val="000000"/>
          <w:sz w:val="22"/>
          <w:szCs w:val="22"/>
        </w:rPr>
        <w:t>../</w:t>
      </w:r>
      <w:proofErr w:type="spellStart"/>
      <w:r w:rsidRPr="008C14D8">
        <w:rPr>
          <w:rFonts w:cstheme="minorHAnsi"/>
          <w:color w:val="000000"/>
          <w:sz w:val="22"/>
          <w:szCs w:val="22"/>
        </w:rPr>
        <w:t>wp-admin</w:t>
      </w:r>
      <w:proofErr w:type="spellEnd"/>
      <w:r w:rsidRPr="008C14D8">
        <w:rPr>
          <w:rFonts w:cstheme="minorHAnsi"/>
          <w:color w:val="000000"/>
          <w:sz w:val="22"/>
          <w:szCs w:val="22"/>
        </w:rPr>
        <w:t>/</w:t>
      </w:r>
      <w:proofErr w:type="spellStart"/>
      <w:r w:rsidRPr="008C14D8">
        <w:rPr>
          <w:rFonts w:cstheme="minorHAnsi"/>
          <w:color w:val="000000"/>
          <w:sz w:val="22"/>
          <w:szCs w:val="22"/>
        </w:rPr>
        <w:t>admin-ajax.php?ref</w:t>
      </w:r>
      <w:proofErr w:type="gramEnd"/>
      <w:r w:rsidRPr="008C14D8">
        <w:rPr>
          <w:rFonts w:cstheme="minorHAnsi"/>
          <w:color w:val="000000"/>
          <w:sz w:val="22"/>
          <w:szCs w:val="22"/>
        </w:rPr>
        <w:t>_id</w:t>
      </w:r>
      <w:proofErr w:type="spellEnd"/>
      <w:r w:rsidRPr="008C14D8">
        <w:rPr>
          <w:rFonts w:cstheme="minorHAnsi"/>
          <w:color w:val="000000"/>
          <w:sz w:val="22"/>
          <w:szCs w:val="22"/>
        </w:rPr>
        <w:t>=1774)) é usado internacionalme</w:t>
      </w:r>
      <w:r>
        <w:rPr>
          <w:rFonts w:cstheme="minorHAnsi"/>
          <w:color w:val="000000"/>
          <w:sz w:val="22"/>
          <w:szCs w:val="22"/>
        </w:rPr>
        <w:t>nte para o rigor metodológico e transparência das orientações práticas.</w:t>
      </w:r>
      <w:r w:rsidR="00E23B48">
        <w:rPr>
          <w:rFonts w:cstheme="minorHAnsi"/>
          <w:color w:val="000000"/>
          <w:sz w:val="22"/>
          <w:szCs w:val="22"/>
        </w:rPr>
        <w:t xml:space="preserve"> Sempre que possível, a metodologia da revisão do PROSPECT para cesariana preenche os requisitos do “Domínio 3: Rigor de Desenvolvimento” do instrumento AGREE II:</w:t>
      </w:r>
    </w:p>
    <w:p w:rsidR="008D4EF1" w:rsidRDefault="008D4EF1" w:rsidP="008D4EF1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Foram usados métodos sistematizados na procura da evidência</w:t>
      </w:r>
    </w:p>
    <w:p w:rsidR="008D4EF1" w:rsidRDefault="008D4EF1" w:rsidP="008D4EF1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Os critérios de seleção da evidência são claramente descritos</w:t>
      </w:r>
    </w:p>
    <w:p w:rsidR="008D4EF1" w:rsidRDefault="008D4EF1" w:rsidP="008D4EF1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As forças e limitações do corpo de evidência são claramente descritas</w:t>
      </w:r>
    </w:p>
    <w:p w:rsidR="008D4EF1" w:rsidRDefault="008D4EF1" w:rsidP="008D4EF1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lastRenderedPageBreak/>
        <w:t>Os métodos de formulação das recomendações são claramente descritos</w:t>
      </w:r>
    </w:p>
    <w:p w:rsidR="008D4EF1" w:rsidRDefault="008D4EF1" w:rsidP="008D4EF1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Os benefícios, efeitos secundários e riscos para a saúde foram considerados na formulação das recomendações</w:t>
      </w:r>
    </w:p>
    <w:p w:rsidR="008D4EF1" w:rsidRDefault="008D4EF1" w:rsidP="008D4EF1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Existe uma ligação específica entre as recomendações e a evidência</w:t>
      </w:r>
      <w:r w:rsidRPr="008D4EF1">
        <w:rPr>
          <w:rFonts w:cstheme="minorHAnsi"/>
          <w:color w:val="000000"/>
          <w:sz w:val="22"/>
          <w:szCs w:val="22"/>
        </w:rPr>
        <w:t xml:space="preserve"> </w:t>
      </w:r>
      <w:r>
        <w:rPr>
          <w:rFonts w:cstheme="minorHAnsi"/>
          <w:color w:val="000000"/>
          <w:sz w:val="22"/>
          <w:szCs w:val="22"/>
        </w:rPr>
        <w:t>que as</w:t>
      </w:r>
      <w:r w:rsidRPr="008D4EF1">
        <w:rPr>
          <w:rFonts w:cstheme="minorHAnsi"/>
          <w:color w:val="000000"/>
          <w:sz w:val="22"/>
          <w:szCs w:val="22"/>
        </w:rPr>
        <w:t xml:space="preserve"> </w:t>
      </w:r>
      <w:r>
        <w:rPr>
          <w:rFonts w:cstheme="minorHAnsi"/>
          <w:color w:val="000000"/>
          <w:sz w:val="22"/>
          <w:szCs w:val="22"/>
        </w:rPr>
        <w:t>suporta</w:t>
      </w:r>
    </w:p>
    <w:p w:rsidR="00E90D67" w:rsidRPr="00E90D67" w:rsidRDefault="008D4EF1" w:rsidP="00E90D67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 xml:space="preserve">A orientação foi externamente revista por peritos, antes da sua publicação. (A evidência e recomendações </w:t>
      </w:r>
      <w:r w:rsidR="00560C34">
        <w:rPr>
          <w:rFonts w:cstheme="minorHAnsi"/>
          <w:color w:val="000000"/>
          <w:sz w:val="22"/>
          <w:szCs w:val="22"/>
        </w:rPr>
        <w:t>serão submetidos para revisão-por-pares após pu</w:t>
      </w:r>
      <w:r w:rsidR="00E90D67">
        <w:rPr>
          <w:rFonts w:cstheme="minorHAnsi"/>
          <w:color w:val="000000"/>
          <w:sz w:val="22"/>
          <w:szCs w:val="22"/>
        </w:rPr>
        <w:t>blicação no website da PROSPECT)</w:t>
      </w:r>
    </w:p>
    <w:p w:rsidR="00E90D67" w:rsidRDefault="00E90D67" w:rsidP="00E90D67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É fornecido um sistema para atualização da recomendação (É fornecida metodologia de forma que a revisão sistematizada seja atualizada conforme as necessidades).</w:t>
      </w:r>
    </w:p>
    <w:p w:rsidR="008C5C75" w:rsidRPr="008C5C75" w:rsidRDefault="008C5C75" w:rsidP="008C5C75">
      <w:pPr>
        <w:pStyle w:val="PargrafodaLista"/>
        <w:autoSpaceDE w:val="0"/>
        <w:autoSpaceDN w:val="0"/>
        <w:adjustRightInd w:val="0"/>
        <w:spacing w:after="240"/>
        <w:rPr>
          <w:rFonts w:cstheme="minorHAnsi"/>
          <w:color w:val="000000"/>
          <w:sz w:val="22"/>
          <w:szCs w:val="22"/>
        </w:rPr>
      </w:pPr>
    </w:p>
    <w:p w:rsidR="00E90D67" w:rsidRDefault="00E90D67" w:rsidP="00A0025A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Sumário das recomendações</w:t>
      </w:r>
    </w:p>
    <w:p w:rsidR="00A0025A" w:rsidRDefault="00A0025A" w:rsidP="00A0025A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90D67" w:rsidTr="008C5C75">
        <w:trPr>
          <w:trHeight w:val="2005"/>
        </w:trPr>
        <w:tc>
          <w:tcPr>
            <w:tcW w:w="8828" w:type="dxa"/>
            <w:gridSpan w:val="2"/>
          </w:tcPr>
          <w:p w:rsidR="00E90D67" w:rsidRDefault="00E90D67" w:rsidP="00A0025A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2"/>
                <w:szCs w:val="22"/>
              </w:rPr>
            </w:pPr>
            <w:r>
              <w:rPr>
                <w:rFonts w:cstheme="minorHAnsi"/>
                <w:b/>
                <w:color w:val="000000"/>
                <w:sz w:val="22"/>
                <w:szCs w:val="22"/>
              </w:rPr>
              <w:t xml:space="preserve">Intervenções pré-operatórias recomendadas </w:t>
            </w:r>
            <w:r w:rsidR="00AE1DF0">
              <w:rPr>
                <w:rFonts w:cstheme="minorHAnsi"/>
                <w:b/>
                <w:color w:val="000000"/>
                <w:sz w:val="22"/>
                <w:szCs w:val="22"/>
              </w:rPr>
              <w:t>para cesariana</w:t>
            </w:r>
          </w:p>
          <w:p w:rsidR="00A0025A" w:rsidRDefault="00A0025A" w:rsidP="00A0025A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2"/>
                <w:szCs w:val="22"/>
              </w:rPr>
            </w:pPr>
          </w:p>
          <w:p w:rsidR="00AE1DF0" w:rsidRDefault="00AE1DF0" w:rsidP="00A0025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Nota: Até referido em contrário, “pré-operatório” refere-se às intervenções aplicadas antes da incisão cirúrgica</w:t>
            </w:r>
          </w:p>
          <w:p w:rsidR="00A0025A" w:rsidRDefault="00A0025A" w:rsidP="00A0025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</w:p>
          <w:p w:rsidR="00AE1DF0" w:rsidRPr="00AE1DF0" w:rsidRDefault="00AE1DF0" w:rsidP="00A0025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 xml:space="preserve">Nota: Os analgésicos devem ser administrados em altura própria (pré e </w:t>
            </w:r>
            <w:proofErr w:type="spellStart"/>
            <w:r w:rsidR="00A0025A">
              <w:rPr>
                <w:rFonts w:cstheme="minorHAnsi"/>
                <w:color w:val="000000"/>
                <w:sz w:val="22"/>
                <w:szCs w:val="22"/>
              </w:rPr>
              <w:t>intra-operatório</w:t>
            </w:r>
            <w:proofErr w:type="spellEnd"/>
            <w:r>
              <w:rPr>
                <w:rFonts w:cstheme="minorHAnsi"/>
                <w:color w:val="000000"/>
                <w:sz w:val="22"/>
                <w:szCs w:val="22"/>
              </w:rPr>
              <w:t xml:space="preserve">) para fornecer analgesia suficiente no período de recobro precoce </w:t>
            </w:r>
          </w:p>
        </w:tc>
      </w:tr>
      <w:tr w:rsidR="00E90D67" w:rsidTr="008C5C75">
        <w:trPr>
          <w:trHeight w:val="971"/>
        </w:trPr>
        <w:tc>
          <w:tcPr>
            <w:tcW w:w="4414" w:type="dxa"/>
          </w:tcPr>
          <w:p w:rsidR="00E90D67" w:rsidRPr="00AE1DF0" w:rsidRDefault="00AE1DF0" w:rsidP="00A0025A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cstheme="minorHAnsi"/>
                <w:b/>
                <w:color w:val="000000"/>
                <w:sz w:val="22"/>
                <w:szCs w:val="22"/>
              </w:rPr>
              <w:t>Gabapentina</w:t>
            </w:r>
            <w:proofErr w:type="spellEnd"/>
            <w:r>
              <w:rPr>
                <w:rFonts w:cstheme="minorHAnsi"/>
                <w:b/>
                <w:color w:val="000000"/>
                <w:sz w:val="22"/>
                <w:szCs w:val="22"/>
              </w:rPr>
              <w:t xml:space="preserve"> oral</w:t>
            </w:r>
          </w:p>
        </w:tc>
        <w:tc>
          <w:tcPr>
            <w:tcW w:w="4414" w:type="dxa"/>
          </w:tcPr>
          <w:p w:rsidR="00E90D67" w:rsidRDefault="00AE1DF0" w:rsidP="00A0025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 xml:space="preserve">É recomendada uma dose única de </w:t>
            </w:r>
            <w:proofErr w:type="spellStart"/>
            <w:r>
              <w:rPr>
                <w:rFonts w:cstheme="minorHAnsi"/>
                <w:color w:val="000000"/>
                <w:sz w:val="22"/>
                <w:szCs w:val="22"/>
              </w:rPr>
              <w:t>gabapentina</w:t>
            </w:r>
            <w:proofErr w:type="spellEnd"/>
            <w:r>
              <w:rPr>
                <w:rFonts w:cstheme="minorHAnsi"/>
                <w:color w:val="000000"/>
                <w:sz w:val="22"/>
                <w:szCs w:val="22"/>
              </w:rPr>
              <w:t xml:space="preserve"> oral (</w:t>
            </w:r>
            <w:proofErr w:type="spellStart"/>
            <w:r>
              <w:rPr>
                <w:rFonts w:cstheme="minorHAnsi"/>
                <w:color w:val="000000"/>
                <w:sz w:val="22"/>
                <w:szCs w:val="22"/>
              </w:rPr>
              <w:t>GoR</w:t>
            </w:r>
            <w:proofErr w:type="spellEnd"/>
            <w:r>
              <w:rPr>
                <w:rFonts w:cstheme="minorHAnsi"/>
                <w:color w:val="000000"/>
                <w:sz w:val="22"/>
                <w:szCs w:val="22"/>
              </w:rPr>
              <w:t xml:space="preserve"> A) para melhorar o alívio da dor pós-operatória (</w:t>
            </w:r>
            <w:proofErr w:type="spellStart"/>
            <w:r>
              <w:rPr>
                <w:rFonts w:cstheme="minorHAnsi"/>
                <w:color w:val="000000"/>
                <w:sz w:val="22"/>
                <w:szCs w:val="22"/>
              </w:rPr>
              <w:t>LoE</w:t>
            </w:r>
            <w:proofErr w:type="spellEnd"/>
            <w:r>
              <w:rPr>
                <w:rFonts w:cstheme="minorHAnsi"/>
                <w:color w:val="000000"/>
                <w:sz w:val="22"/>
                <w:szCs w:val="22"/>
              </w:rPr>
              <w:t xml:space="preserve"> 1)</w:t>
            </w:r>
          </w:p>
        </w:tc>
      </w:tr>
      <w:tr w:rsidR="00AE1DF0" w:rsidTr="008C5C75">
        <w:trPr>
          <w:trHeight w:val="428"/>
        </w:trPr>
        <w:tc>
          <w:tcPr>
            <w:tcW w:w="8828" w:type="dxa"/>
            <w:gridSpan w:val="2"/>
          </w:tcPr>
          <w:p w:rsidR="00AE1DF0" w:rsidRDefault="00AE1DF0" w:rsidP="00A0025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b/>
                <w:color w:val="000000"/>
                <w:sz w:val="22"/>
                <w:szCs w:val="22"/>
              </w:rPr>
              <w:t xml:space="preserve">Técnicas anestésicas e analgésicos </w:t>
            </w:r>
            <w:proofErr w:type="spellStart"/>
            <w:r>
              <w:rPr>
                <w:rFonts w:cstheme="minorHAnsi"/>
                <w:b/>
                <w:color w:val="000000"/>
                <w:sz w:val="22"/>
                <w:szCs w:val="22"/>
              </w:rPr>
              <w:t>co-administrados</w:t>
            </w:r>
            <w:proofErr w:type="spellEnd"/>
          </w:p>
        </w:tc>
      </w:tr>
      <w:tr w:rsidR="00E90D67" w:rsidTr="008C5C75">
        <w:trPr>
          <w:trHeight w:val="4662"/>
        </w:trPr>
        <w:tc>
          <w:tcPr>
            <w:tcW w:w="4414" w:type="dxa"/>
          </w:tcPr>
          <w:p w:rsidR="00A0025A" w:rsidRDefault="00AE1DF0" w:rsidP="00A0025A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2"/>
                <w:szCs w:val="22"/>
              </w:rPr>
            </w:pPr>
            <w:r>
              <w:rPr>
                <w:rFonts w:cstheme="minorHAnsi"/>
                <w:b/>
                <w:color w:val="000000"/>
                <w:sz w:val="22"/>
                <w:szCs w:val="22"/>
              </w:rPr>
              <w:t xml:space="preserve">Técnicas anestésicas: </w:t>
            </w:r>
          </w:p>
          <w:p w:rsidR="00E90D67" w:rsidRPr="00AE1DF0" w:rsidRDefault="00AE1DF0" w:rsidP="00A0025A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2"/>
                <w:szCs w:val="22"/>
              </w:rPr>
            </w:pPr>
            <w:r>
              <w:rPr>
                <w:rFonts w:cstheme="minorHAnsi"/>
                <w:b/>
                <w:color w:val="000000"/>
                <w:sz w:val="22"/>
                <w:szCs w:val="22"/>
              </w:rPr>
              <w:t xml:space="preserve">anestesia combinada do </w:t>
            </w:r>
            <w:proofErr w:type="spellStart"/>
            <w:r>
              <w:rPr>
                <w:rFonts w:cstheme="minorHAnsi"/>
                <w:b/>
                <w:color w:val="000000"/>
                <w:sz w:val="22"/>
                <w:szCs w:val="22"/>
              </w:rPr>
              <w:t>neuroeixo</w:t>
            </w:r>
            <w:proofErr w:type="spellEnd"/>
            <w:r>
              <w:rPr>
                <w:rFonts w:cstheme="minorHAnsi"/>
                <w:b/>
                <w:color w:val="000000"/>
                <w:sz w:val="22"/>
                <w:szCs w:val="22"/>
              </w:rPr>
              <w:t xml:space="preserve"> (CNE) ou bloqueio </w:t>
            </w:r>
            <w:proofErr w:type="spellStart"/>
            <w:r>
              <w:rPr>
                <w:rFonts w:cstheme="minorHAnsi"/>
                <w:b/>
                <w:color w:val="000000"/>
                <w:sz w:val="22"/>
                <w:szCs w:val="22"/>
              </w:rPr>
              <w:t>subaracnoideu</w:t>
            </w:r>
            <w:proofErr w:type="spellEnd"/>
            <w:r>
              <w:rPr>
                <w:rFonts w:cstheme="minorHAnsi"/>
                <w:b/>
                <w:color w:val="000000"/>
                <w:sz w:val="22"/>
                <w:szCs w:val="22"/>
              </w:rPr>
              <w:t xml:space="preserve"> (BSA)</w:t>
            </w:r>
          </w:p>
        </w:tc>
        <w:tc>
          <w:tcPr>
            <w:tcW w:w="4414" w:type="dxa"/>
          </w:tcPr>
          <w:p w:rsidR="00E90D67" w:rsidRDefault="00AE1DF0" w:rsidP="00A0025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 xml:space="preserve">A anestesia combinada do </w:t>
            </w:r>
            <w:proofErr w:type="spellStart"/>
            <w:r>
              <w:rPr>
                <w:rFonts w:cstheme="minorHAnsi"/>
                <w:color w:val="000000"/>
                <w:sz w:val="22"/>
                <w:szCs w:val="22"/>
              </w:rPr>
              <w:t>neuroeixo</w:t>
            </w:r>
            <w:proofErr w:type="spellEnd"/>
            <w:r w:rsidR="00A0025A">
              <w:rPr>
                <w:rFonts w:cstheme="minorHAnsi"/>
                <w:color w:val="000000"/>
                <w:sz w:val="22"/>
                <w:szCs w:val="22"/>
              </w:rPr>
              <w:t xml:space="preserve"> ou o BSA são recomendado</w:t>
            </w:r>
            <w:r>
              <w:rPr>
                <w:rFonts w:cstheme="minorHAnsi"/>
                <w:color w:val="000000"/>
                <w:sz w:val="22"/>
                <w:szCs w:val="22"/>
              </w:rPr>
              <w:t>s (</w:t>
            </w:r>
            <w:proofErr w:type="spellStart"/>
            <w:r>
              <w:rPr>
                <w:rFonts w:cstheme="minorHAnsi"/>
                <w:color w:val="000000"/>
                <w:sz w:val="22"/>
                <w:szCs w:val="22"/>
              </w:rPr>
              <w:t>GoR</w:t>
            </w:r>
            <w:proofErr w:type="spellEnd"/>
            <w:r>
              <w:rPr>
                <w:rFonts w:cstheme="minorHAnsi"/>
                <w:color w:val="000000"/>
                <w:sz w:val="22"/>
                <w:szCs w:val="22"/>
              </w:rPr>
              <w:t xml:space="preserve"> A) com base </w:t>
            </w:r>
            <w:r w:rsidR="00A0025A">
              <w:rPr>
                <w:rFonts w:cstheme="minorHAnsi"/>
                <w:color w:val="000000"/>
                <w:sz w:val="22"/>
                <w:szCs w:val="22"/>
              </w:rPr>
              <w:t>em evidência procedimento-especí</w:t>
            </w:r>
            <w:r>
              <w:rPr>
                <w:rFonts w:cstheme="minorHAnsi"/>
                <w:color w:val="000000"/>
                <w:sz w:val="22"/>
                <w:szCs w:val="22"/>
              </w:rPr>
              <w:t>fica (</w:t>
            </w:r>
            <w:proofErr w:type="spellStart"/>
            <w:r>
              <w:rPr>
                <w:rFonts w:cstheme="minorHAnsi"/>
                <w:color w:val="000000"/>
                <w:sz w:val="22"/>
                <w:szCs w:val="22"/>
              </w:rPr>
              <w:t>LoE</w:t>
            </w:r>
            <w:proofErr w:type="spellEnd"/>
            <w:r>
              <w:rPr>
                <w:rFonts w:cstheme="minorHAnsi"/>
                <w:color w:val="000000"/>
                <w:sz w:val="22"/>
                <w:szCs w:val="22"/>
              </w:rPr>
              <w:t xml:space="preserve"> 1)</w:t>
            </w:r>
          </w:p>
          <w:p w:rsidR="00A0025A" w:rsidRDefault="00A0025A" w:rsidP="00A0025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</w:p>
          <w:p w:rsidR="00AE1DF0" w:rsidRDefault="00AE1DF0" w:rsidP="00A0025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 xml:space="preserve">Não existe benefício analgésico evidente para recomendar anestesia geral em vez da anestesia do </w:t>
            </w:r>
            <w:proofErr w:type="spellStart"/>
            <w:r>
              <w:rPr>
                <w:rFonts w:cstheme="minorHAnsi"/>
                <w:color w:val="000000"/>
                <w:sz w:val="22"/>
                <w:szCs w:val="22"/>
              </w:rPr>
              <w:t>neuroeixo</w:t>
            </w:r>
            <w:proofErr w:type="spellEnd"/>
            <w:r>
              <w:rPr>
                <w:rFonts w:cstheme="minorHAnsi"/>
                <w:color w:val="000000"/>
                <w:sz w:val="22"/>
                <w:szCs w:val="22"/>
              </w:rPr>
              <w:t xml:space="preserve"> (p.e., anestesia epidural, BSA e anestesia </w:t>
            </w:r>
            <w:r w:rsidR="00D6463C">
              <w:rPr>
                <w:rFonts w:cstheme="minorHAnsi"/>
                <w:color w:val="000000"/>
                <w:sz w:val="22"/>
                <w:szCs w:val="22"/>
              </w:rPr>
              <w:t>CNE), por falta de estudos dire</w:t>
            </w:r>
            <w:r>
              <w:rPr>
                <w:rFonts w:cstheme="minorHAnsi"/>
                <w:color w:val="000000"/>
                <w:sz w:val="22"/>
                <w:szCs w:val="22"/>
              </w:rPr>
              <w:t>tos comparativos focados na analgesia pós-operatória (</w:t>
            </w:r>
            <w:proofErr w:type="spellStart"/>
            <w:r>
              <w:rPr>
                <w:rFonts w:cstheme="minorHAnsi"/>
                <w:color w:val="000000"/>
                <w:sz w:val="22"/>
                <w:szCs w:val="22"/>
              </w:rPr>
              <w:t>GoR</w:t>
            </w:r>
            <w:proofErr w:type="spellEnd"/>
            <w:r>
              <w:rPr>
                <w:rFonts w:cstheme="minorHAnsi"/>
                <w:color w:val="000000"/>
                <w:sz w:val="22"/>
                <w:szCs w:val="22"/>
              </w:rPr>
              <w:t xml:space="preserve"> D)</w:t>
            </w:r>
          </w:p>
          <w:p w:rsidR="00A0025A" w:rsidRDefault="00A0025A" w:rsidP="00A0025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</w:p>
          <w:p w:rsidR="00D6463C" w:rsidRDefault="00D6463C" w:rsidP="00A0025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 xml:space="preserve">Contudo, as técnicas anestésicas do </w:t>
            </w:r>
            <w:proofErr w:type="spellStart"/>
            <w:r>
              <w:rPr>
                <w:rFonts w:cstheme="minorHAnsi"/>
                <w:color w:val="000000"/>
                <w:sz w:val="22"/>
                <w:szCs w:val="22"/>
              </w:rPr>
              <w:t>neuroeixo</w:t>
            </w:r>
            <w:proofErr w:type="spellEnd"/>
            <w:r>
              <w:rPr>
                <w:rFonts w:cstheme="minorHAnsi"/>
                <w:color w:val="000000"/>
                <w:sz w:val="22"/>
                <w:szCs w:val="22"/>
              </w:rPr>
              <w:t xml:space="preserve"> são recomendadas por motivos de segurança (p.e., a anestesia do </w:t>
            </w:r>
            <w:proofErr w:type="spellStart"/>
            <w:r>
              <w:rPr>
                <w:rFonts w:cstheme="minorHAnsi"/>
                <w:color w:val="000000"/>
                <w:sz w:val="22"/>
                <w:szCs w:val="22"/>
              </w:rPr>
              <w:t>neuroeixo</w:t>
            </w:r>
            <w:proofErr w:type="spellEnd"/>
            <w:r>
              <w:rPr>
                <w:rFonts w:cstheme="minorHAnsi"/>
                <w:color w:val="000000"/>
                <w:sz w:val="22"/>
                <w:szCs w:val="22"/>
              </w:rPr>
              <w:t xml:space="preserve"> obvia a necessidade de manipulação da via aérea e evita os efeitos sedativos dos anestésicos gerais) (</w:t>
            </w:r>
            <w:proofErr w:type="spellStart"/>
            <w:r>
              <w:rPr>
                <w:rFonts w:cstheme="minorHAnsi"/>
                <w:color w:val="000000"/>
                <w:sz w:val="22"/>
                <w:szCs w:val="22"/>
              </w:rPr>
              <w:t>GoR</w:t>
            </w:r>
            <w:proofErr w:type="spellEnd"/>
            <w:r>
              <w:rPr>
                <w:rFonts w:cstheme="minorHAnsi"/>
                <w:color w:val="000000"/>
                <w:sz w:val="22"/>
                <w:szCs w:val="22"/>
              </w:rPr>
              <w:t xml:space="preserve"> D)</w:t>
            </w:r>
          </w:p>
        </w:tc>
      </w:tr>
      <w:tr w:rsidR="00E90D67" w:rsidTr="008C5C75">
        <w:trPr>
          <w:trHeight w:val="2834"/>
        </w:trPr>
        <w:tc>
          <w:tcPr>
            <w:tcW w:w="4414" w:type="dxa"/>
          </w:tcPr>
          <w:p w:rsidR="00E90D67" w:rsidRPr="00D6463C" w:rsidRDefault="00D6463C" w:rsidP="00A0025A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2"/>
                <w:szCs w:val="22"/>
              </w:rPr>
            </w:pPr>
            <w:r>
              <w:rPr>
                <w:rFonts w:cstheme="minorHAnsi"/>
                <w:b/>
                <w:color w:val="000000"/>
                <w:sz w:val="22"/>
                <w:szCs w:val="22"/>
              </w:rPr>
              <w:lastRenderedPageBreak/>
              <w:t xml:space="preserve">Analgesia </w:t>
            </w:r>
            <w:proofErr w:type="spellStart"/>
            <w:r>
              <w:rPr>
                <w:rFonts w:cstheme="minorHAnsi"/>
                <w:b/>
                <w:color w:val="000000"/>
                <w:sz w:val="22"/>
                <w:szCs w:val="22"/>
              </w:rPr>
              <w:t>opióide</w:t>
            </w:r>
            <w:proofErr w:type="spellEnd"/>
            <w:r>
              <w:rPr>
                <w:rFonts w:cs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0000"/>
                <w:sz w:val="22"/>
                <w:szCs w:val="22"/>
              </w:rPr>
              <w:t>intratecal</w:t>
            </w:r>
            <w:proofErr w:type="spellEnd"/>
          </w:p>
        </w:tc>
        <w:tc>
          <w:tcPr>
            <w:tcW w:w="4414" w:type="dxa"/>
          </w:tcPr>
          <w:p w:rsidR="00E90D67" w:rsidRDefault="00D6463C" w:rsidP="00A0025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Se a doente foi submetida a BSA, é recomendada morfina abaixo dos 200</w:t>
            </w:r>
            <w:r>
              <w:rPr>
                <w:rFonts w:cstheme="minorHAnsi"/>
                <w:i/>
                <w:color w:val="000000"/>
                <w:sz w:val="22"/>
                <w:szCs w:val="22"/>
              </w:rPr>
              <w:t>u</w:t>
            </w:r>
            <w:r>
              <w:rPr>
                <w:rFonts w:cstheme="minorHAnsi"/>
                <w:color w:val="000000"/>
                <w:sz w:val="22"/>
                <w:szCs w:val="22"/>
              </w:rPr>
              <w:t>g (</w:t>
            </w:r>
            <w:proofErr w:type="spellStart"/>
            <w:r>
              <w:rPr>
                <w:rFonts w:cstheme="minorHAnsi"/>
                <w:color w:val="000000"/>
                <w:sz w:val="22"/>
                <w:szCs w:val="22"/>
              </w:rPr>
              <w:t>GoR</w:t>
            </w:r>
            <w:proofErr w:type="spellEnd"/>
            <w:r>
              <w:rPr>
                <w:rFonts w:cstheme="minorHAnsi"/>
                <w:color w:val="000000"/>
                <w:sz w:val="22"/>
                <w:szCs w:val="22"/>
              </w:rPr>
              <w:t xml:space="preserve"> A) com base em evidência procedimento-especifica para melhoria da analgesia pós-operatória (</w:t>
            </w:r>
            <w:proofErr w:type="spellStart"/>
            <w:r>
              <w:rPr>
                <w:rFonts w:cstheme="minorHAnsi"/>
                <w:color w:val="000000"/>
                <w:sz w:val="22"/>
                <w:szCs w:val="22"/>
              </w:rPr>
              <w:t>LoE</w:t>
            </w:r>
            <w:proofErr w:type="spellEnd"/>
            <w:r>
              <w:rPr>
                <w:rFonts w:cstheme="minorHAnsi"/>
                <w:color w:val="000000"/>
                <w:sz w:val="22"/>
                <w:szCs w:val="22"/>
              </w:rPr>
              <w:t xml:space="preserve"> 1)</w:t>
            </w:r>
          </w:p>
          <w:p w:rsidR="00A0025A" w:rsidRDefault="00A0025A" w:rsidP="00A0025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</w:p>
          <w:p w:rsidR="00D6463C" w:rsidRPr="00D6463C" w:rsidRDefault="00D6463C" w:rsidP="00A0025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 xml:space="preserve">Contudo, devido aos efeitos relacionados com os </w:t>
            </w:r>
            <w:proofErr w:type="spellStart"/>
            <w:r>
              <w:rPr>
                <w:rFonts w:cstheme="minorHAnsi"/>
                <w:color w:val="000000"/>
                <w:sz w:val="22"/>
                <w:szCs w:val="22"/>
              </w:rPr>
              <w:t>opióides</w:t>
            </w:r>
            <w:proofErr w:type="spellEnd"/>
            <w:r>
              <w:rPr>
                <w:rFonts w:cstheme="minorHAnsi"/>
                <w:color w:val="000000"/>
                <w:sz w:val="22"/>
                <w:szCs w:val="22"/>
              </w:rPr>
              <w:t>, tais como a depressão respiratória tardia, devem ser equacionadas técnicas analgésicas alternativas</w:t>
            </w:r>
          </w:p>
        </w:tc>
      </w:tr>
      <w:tr w:rsidR="00E90D67" w:rsidTr="008C5C75">
        <w:trPr>
          <w:trHeight w:val="2817"/>
        </w:trPr>
        <w:tc>
          <w:tcPr>
            <w:tcW w:w="4414" w:type="dxa"/>
          </w:tcPr>
          <w:p w:rsidR="00E90D67" w:rsidRPr="00D6463C" w:rsidRDefault="00D6463C" w:rsidP="00A0025A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2"/>
                <w:szCs w:val="22"/>
              </w:rPr>
            </w:pPr>
            <w:r>
              <w:rPr>
                <w:rFonts w:cstheme="minorHAnsi"/>
                <w:b/>
                <w:color w:val="000000"/>
                <w:sz w:val="22"/>
                <w:szCs w:val="22"/>
              </w:rPr>
              <w:t xml:space="preserve">Analgesia epidural com </w:t>
            </w:r>
            <w:proofErr w:type="spellStart"/>
            <w:r>
              <w:rPr>
                <w:rFonts w:cstheme="minorHAnsi"/>
                <w:b/>
                <w:color w:val="000000"/>
                <w:sz w:val="22"/>
                <w:szCs w:val="22"/>
              </w:rPr>
              <w:t>opióides</w:t>
            </w:r>
            <w:proofErr w:type="spellEnd"/>
          </w:p>
        </w:tc>
        <w:tc>
          <w:tcPr>
            <w:tcW w:w="4414" w:type="dxa"/>
          </w:tcPr>
          <w:p w:rsidR="00E90D67" w:rsidRDefault="00D6463C" w:rsidP="00A0025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 xml:space="preserve">Os </w:t>
            </w:r>
            <w:proofErr w:type="spellStart"/>
            <w:r>
              <w:rPr>
                <w:rFonts w:cstheme="minorHAnsi"/>
                <w:color w:val="000000"/>
                <w:sz w:val="22"/>
                <w:szCs w:val="22"/>
              </w:rPr>
              <w:t>opióides</w:t>
            </w:r>
            <w:proofErr w:type="spellEnd"/>
            <w:r>
              <w:rPr>
                <w:rFonts w:cstheme="minorHAnsi"/>
                <w:color w:val="000000"/>
                <w:sz w:val="22"/>
                <w:szCs w:val="22"/>
              </w:rPr>
              <w:t xml:space="preserve"> epidurais são recomendados se a doente recebeu anestesia epidural (</w:t>
            </w:r>
            <w:proofErr w:type="spellStart"/>
            <w:r>
              <w:rPr>
                <w:rFonts w:cstheme="minorHAnsi"/>
                <w:color w:val="000000"/>
                <w:sz w:val="22"/>
                <w:szCs w:val="22"/>
              </w:rPr>
              <w:t>GoR</w:t>
            </w:r>
            <w:proofErr w:type="spellEnd"/>
            <w:r>
              <w:rPr>
                <w:rFonts w:cstheme="minorHAnsi"/>
                <w:color w:val="000000"/>
                <w:sz w:val="22"/>
                <w:szCs w:val="22"/>
              </w:rPr>
              <w:t xml:space="preserve"> A) com base em evidência procedimento-especifica para melhoria da analgesia pós-operatória (</w:t>
            </w:r>
            <w:proofErr w:type="spellStart"/>
            <w:r>
              <w:rPr>
                <w:rFonts w:cstheme="minorHAnsi"/>
                <w:color w:val="000000"/>
                <w:sz w:val="22"/>
                <w:szCs w:val="22"/>
              </w:rPr>
              <w:t>LoE</w:t>
            </w:r>
            <w:proofErr w:type="spellEnd"/>
            <w:r>
              <w:rPr>
                <w:rFonts w:cstheme="minorHAnsi"/>
                <w:color w:val="000000"/>
                <w:sz w:val="22"/>
                <w:szCs w:val="22"/>
              </w:rPr>
              <w:t xml:space="preserve"> 1)</w:t>
            </w:r>
          </w:p>
          <w:p w:rsidR="00A0025A" w:rsidRDefault="00A0025A" w:rsidP="00A0025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</w:p>
          <w:p w:rsidR="00D6463C" w:rsidRDefault="00D6463C" w:rsidP="00A0025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 xml:space="preserve">Contudo, devido aos efeitos relacionados com os </w:t>
            </w:r>
            <w:proofErr w:type="spellStart"/>
            <w:r>
              <w:rPr>
                <w:rFonts w:cstheme="minorHAnsi"/>
                <w:color w:val="000000"/>
                <w:sz w:val="22"/>
                <w:szCs w:val="22"/>
              </w:rPr>
              <w:t>opióides</w:t>
            </w:r>
            <w:proofErr w:type="spellEnd"/>
            <w:r>
              <w:rPr>
                <w:rFonts w:cstheme="minorHAnsi"/>
                <w:color w:val="000000"/>
                <w:sz w:val="22"/>
                <w:szCs w:val="22"/>
              </w:rPr>
              <w:t>, tais como a depressão respiratória tardia, devem ser equacionadas técnicas analgésicas alternativas</w:t>
            </w:r>
          </w:p>
        </w:tc>
      </w:tr>
      <w:tr w:rsidR="00D6463C" w:rsidTr="008C5C75">
        <w:trPr>
          <w:trHeight w:val="420"/>
        </w:trPr>
        <w:tc>
          <w:tcPr>
            <w:tcW w:w="8828" w:type="dxa"/>
            <w:gridSpan w:val="2"/>
          </w:tcPr>
          <w:p w:rsidR="00D6463C" w:rsidRPr="00D6463C" w:rsidRDefault="00D6463C" w:rsidP="00A0025A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2"/>
                <w:szCs w:val="22"/>
              </w:rPr>
            </w:pPr>
            <w:r>
              <w:rPr>
                <w:rFonts w:cstheme="minorHAnsi"/>
                <w:b/>
                <w:color w:val="000000"/>
                <w:sz w:val="22"/>
                <w:szCs w:val="22"/>
              </w:rPr>
              <w:t>Técnicas cirúrgicas recomendadas para cesariana</w:t>
            </w:r>
          </w:p>
        </w:tc>
      </w:tr>
      <w:tr w:rsidR="00E90D67" w:rsidTr="008C5C75">
        <w:trPr>
          <w:trHeight w:val="3389"/>
        </w:trPr>
        <w:tc>
          <w:tcPr>
            <w:tcW w:w="4414" w:type="dxa"/>
          </w:tcPr>
          <w:p w:rsidR="00E90D67" w:rsidRPr="00D53A15" w:rsidRDefault="00D6463C" w:rsidP="00A0025A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D53A15">
              <w:rPr>
                <w:rFonts w:cstheme="minorHAnsi"/>
                <w:b/>
                <w:color w:val="000000"/>
                <w:sz w:val="22"/>
                <w:szCs w:val="22"/>
              </w:rPr>
              <w:t xml:space="preserve">Técnicas cirúrgicas: </w:t>
            </w:r>
            <w:r w:rsidR="00D53A15" w:rsidRPr="00D53A15">
              <w:rPr>
                <w:rFonts w:cstheme="minorHAnsi"/>
                <w:b/>
                <w:color w:val="000000"/>
                <w:sz w:val="22"/>
                <w:szCs w:val="22"/>
              </w:rPr>
              <w:t>Incisão abdominal transversa e não encerramento do peritoneu</w:t>
            </w:r>
          </w:p>
        </w:tc>
        <w:tc>
          <w:tcPr>
            <w:tcW w:w="4414" w:type="dxa"/>
          </w:tcPr>
          <w:p w:rsidR="00E90D67" w:rsidRDefault="00D53A15" w:rsidP="00A0025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A i</w:t>
            </w:r>
            <w:r w:rsidRPr="00D53A15">
              <w:rPr>
                <w:rFonts w:cstheme="minorHAnsi"/>
                <w:color w:val="000000"/>
                <w:sz w:val="22"/>
                <w:szCs w:val="22"/>
              </w:rPr>
              <w:t>ncisão abdominal transversa</w:t>
            </w:r>
            <w:r>
              <w:rPr>
                <w:rFonts w:cstheme="minorHAnsi"/>
                <w:color w:val="000000"/>
                <w:sz w:val="22"/>
                <w:szCs w:val="22"/>
              </w:rPr>
              <w:t xml:space="preserve"> é recomendada em vez da incisão vertical (</w:t>
            </w:r>
            <w:proofErr w:type="spellStart"/>
            <w:r>
              <w:rPr>
                <w:rFonts w:cstheme="minorHAnsi"/>
                <w:color w:val="000000"/>
                <w:sz w:val="22"/>
                <w:szCs w:val="22"/>
              </w:rPr>
              <w:t>GoR</w:t>
            </w:r>
            <w:proofErr w:type="spellEnd"/>
            <w:r>
              <w:rPr>
                <w:rFonts w:cstheme="minorHAnsi"/>
                <w:color w:val="000000"/>
                <w:sz w:val="22"/>
                <w:szCs w:val="22"/>
              </w:rPr>
              <w:t xml:space="preserve"> A, </w:t>
            </w:r>
            <w:proofErr w:type="spellStart"/>
            <w:r>
              <w:rPr>
                <w:rFonts w:cstheme="minorHAnsi"/>
                <w:color w:val="000000"/>
                <w:sz w:val="22"/>
                <w:szCs w:val="22"/>
              </w:rPr>
              <w:t>LoE</w:t>
            </w:r>
            <w:proofErr w:type="spellEnd"/>
            <w:r>
              <w:rPr>
                <w:rFonts w:cstheme="minorHAnsi"/>
                <w:color w:val="000000"/>
                <w:sz w:val="22"/>
                <w:szCs w:val="22"/>
              </w:rPr>
              <w:t xml:space="preserve"> 1). De entre as incis</w:t>
            </w:r>
            <w:r w:rsidR="0074069E">
              <w:rPr>
                <w:rFonts w:cstheme="minorHAnsi"/>
                <w:color w:val="000000"/>
                <w:sz w:val="22"/>
                <w:szCs w:val="22"/>
              </w:rPr>
              <w:t>ões transversa</w:t>
            </w:r>
            <w:r>
              <w:rPr>
                <w:rFonts w:cstheme="minorHAnsi"/>
                <w:color w:val="000000"/>
                <w:sz w:val="22"/>
                <w:szCs w:val="22"/>
              </w:rPr>
              <w:t>s, a incisão de Joel-Cohen e modificações semelhantes são su</w:t>
            </w:r>
            <w:r w:rsidR="00246C84">
              <w:rPr>
                <w:rFonts w:cstheme="minorHAnsi"/>
                <w:color w:val="000000"/>
                <w:sz w:val="22"/>
                <w:szCs w:val="22"/>
              </w:rPr>
              <w:t xml:space="preserve">periores à incisão de </w:t>
            </w:r>
            <w:proofErr w:type="spellStart"/>
            <w:r w:rsidR="00246C84">
              <w:rPr>
                <w:rFonts w:cstheme="minorHAnsi"/>
                <w:color w:val="000000"/>
                <w:sz w:val="22"/>
                <w:szCs w:val="22"/>
              </w:rPr>
              <w:t>Pfannenst</w:t>
            </w:r>
            <w:r>
              <w:rPr>
                <w:rFonts w:cstheme="minorHAnsi"/>
                <w:color w:val="000000"/>
                <w:sz w:val="22"/>
                <w:szCs w:val="22"/>
              </w:rPr>
              <w:t>i</w:t>
            </w:r>
            <w:r w:rsidR="00246C84">
              <w:rPr>
                <w:rFonts w:cstheme="minorHAnsi"/>
                <w:color w:val="000000"/>
                <w:sz w:val="22"/>
                <w:szCs w:val="22"/>
              </w:rPr>
              <w:t>e</w:t>
            </w:r>
            <w:r>
              <w:rPr>
                <w:rFonts w:cstheme="minorHAnsi"/>
                <w:color w:val="000000"/>
                <w:sz w:val="22"/>
                <w:szCs w:val="22"/>
              </w:rPr>
              <w:t>l</w:t>
            </w:r>
            <w:proofErr w:type="spellEnd"/>
            <w:r w:rsidR="00592E3A">
              <w:rPr>
                <w:rFonts w:cstheme="minorHAnsi"/>
                <w:color w:val="000000"/>
                <w:sz w:val="22"/>
                <w:szCs w:val="22"/>
              </w:rPr>
              <w:t>,</w:t>
            </w:r>
            <w:r>
              <w:rPr>
                <w:rFonts w:cstheme="minorHAnsi"/>
                <w:color w:val="000000"/>
                <w:sz w:val="22"/>
                <w:szCs w:val="22"/>
              </w:rPr>
              <w:t xml:space="preserve"> tendo em conta os resultados da analgesia pós-operatória (</w:t>
            </w:r>
            <w:proofErr w:type="spellStart"/>
            <w:r>
              <w:rPr>
                <w:rFonts w:cstheme="minorHAnsi"/>
                <w:color w:val="000000"/>
                <w:sz w:val="22"/>
                <w:szCs w:val="22"/>
              </w:rPr>
              <w:t>GoR</w:t>
            </w:r>
            <w:proofErr w:type="spellEnd"/>
            <w:r>
              <w:rPr>
                <w:rFonts w:cstheme="minorHAnsi"/>
                <w:color w:val="000000"/>
                <w:sz w:val="22"/>
                <w:szCs w:val="22"/>
              </w:rPr>
              <w:t xml:space="preserve"> A, </w:t>
            </w:r>
            <w:proofErr w:type="spellStart"/>
            <w:r>
              <w:rPr>
                <w:rFonts w:cstheme="minorHAnsi"/>
                <w:color w:val="000000"/>
                <w:sz w:val="22"/>
                <w:szCs w:val="22"/>
              </w:rPr>
              <w:t>LoE</w:t>
            </w:r>
            <w:proofErr w:type="spellEnd"/>
            <w:r>
              <w:rPr>
                <w:rFonts w:cstheme="minorHAnsi"/>
                <w:color w:val="000000"/>
                <w:sz w:val="22"/>
                <w:szCs w:val="22"/>
              </w:rPr>
              <w:t xml:space="preserve"> 1)</w:t>
            </w:r>
          </w:p>
          <w:p w:rsidR="00A0025A" w:rsidRDefault="00A0025A" w:rsidP="00A0025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</w:p>
          <w:p w:rsidR="00D53A15" w:rsidRDefault="00D53A15" w:rsidP="00A0025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O não encerramento do peritoneu é recomendado (</w:t>
            </w:r>
            <w:proofErr w:type="spellStart"/>
            <w:r>
              <w:rPr>
                <w:rFonts w:cstheme="minorHAnsi"/>
                <w:color w:val="000000"/>
                <w:sz w:val="22"/>
                <w:szCs w:val="22"/>
              </w:rPr>
              <w:t>GoR</w:t>
            </w:r>
            <w:proofErr w:type="spellEnd"/>
            <w:r>
              <w:rPr>
                <w:rFonts w:cstheme="minorHAnsi"/>
                <w:color w:val="000000"/>
                <w:sz w:val="22"/>
                <w:szCs w:val="22"/>
              </w:rPr>
              <w:t xml:space="preserve"> A) com base em evidência procedimento-especifica para analgesia pós-operatória (</w:t>
            </w:r>
            <w:proofErr w:type="spellStart"/>
            <w:r>
              <w:rPr>
                <w:rFonts w:cstheme="minorHAnsi"/>
                <w:color w:val="000000"/>
                <w:sz w:val="22"/>
                <w:szCs w:val="22"/>
              </w:rPr>
              <w:t>LoE</w:t>
            </w:r>
            <w:proofErr w:type="spellEnd"/>
            <w:r>
              <w:rPr>
                <w:rFonts w:cstheme="minorHAnsi"/>
                <w:color w:val="000000"/>
                <w:sz w:val="22"/>
                <w:szCs w:val="22"/>
              </w:rPr>
              <w:t xml:space="preserve"> 1)</w:t>
            </w:r>
          </w:p>
        </w:tc>
      </w:tr>
      <w:tr w:rsidR="00D53A15" w:rsidTr="008C5C75">
        <w:trPr>
          <w:trHeight w:val="2247"/>
        </w:trPr>
        <w:tc>
          <w:tcPr>
            <w:tcW w:w="8828" w:type="dxa"/>
            <w:gridSpan w:val="2"/>
          </w:tcPr>
          <w:p w:rsidR="00D53A15" w:rsidRDefault="00D53A15" w:rsidP="00A0025A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2"/>
                <w:szCs w:val="22"/>
              </w:rPr>
            </w:pPr>
            <w:r>
              <w:rPr>
                <w:rFonts w:cstheme="minorHAnsi"/>
                <w:b/>
                <w:color w:val="000000"/>
                <w:sz w:val="22"/>
                <w:szCs w:val="22"/>
              </w:rPr>
              <w:t xml:space="preserve">Intervenções </w:t>
            </w:r>
            <w:proofErr w:type="spellStart"/>
            <w:r>
              <w:rPr>
                <w:rFonts w:cstheme="minorHAnsi"/>
                <w:b/>
                <w:color w:val="000000"/>
                <w:sz w:val="22"/>
                <w:szCs w:val="22"/>
              </w:rPr>
              <w:t>intra-operatórias</w:t>
            </w:r>
            <w:proofErr w:type="spellEnd"/>
            <w:r>
              <w:rPr>
                <w:rFonts w:cstheme="minorHAnsi"/>
                <w:b/>
                <w:color w:val="000000"/>
                <w:sz w:val="22"/>
                <w:szCs w:val="22"/>
              </w:rPr>
              <w:t xml:space="preserve"> recomendadas para cesariana</w:t>
            </w:r>
          </w:p>
          <w:p w:rsidR="00A0025A" w:rsidRDefault="00A0025A" w:rsidP="00A0025A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2"/>
                <w:szCs w:val="22"/>
              </w:rPr>
            </w:pPr>
          </w:p>
          <w:p w:rsidR="00D53A15" w:rsidRDefault="00D53A15" w:rsidP="00A0025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Nota: Até referido em contrário, “</w:t>
            </w:r>
            <w:proofErr w:type="spellStart"/>
            <w:r>
              <w:rPr>
                <w:rFonts w:cstheme="minorHAnsi"/>
                <w:color w:val="000000"/>
                <w:sz w:val="22"/>
                <w:szCs w:val="22"/>
              </w:rPr>
              <w:t>intra-operatório</w:t>
            </w:r>
            <w:proofErr w:type="spellEnd"/>
            <w:r>
              <w:rPr>
                <w:rFonts w:cstheme="minorHAnsi"/>
                <w:color w:val="000000"/>
                <w:sz w:val="22"/>
                <w:szCs w:val="22"/>
              </w:rPr>
              <w:t xml:space="preserve">” refere-se às intervenções aplicadas após a incisão cirúrgica e antes do encerramento da ferida. Na cesariana, “pós-parto” refere-se à administração após </w:t>
            </w:r>
            <w:proofErr w:type="spellStart"/>
            <w:r>
              <w:rPr>
                <w:rFonts w:cstheme="minorHAnsi"/>
                <w:color w:val="000000"/>
                <w:sz w:val="22"/>
                <w:szCs w:val="22"/>
              </w:rPr>
              <w:t>clampagem</w:t>
            </w:r>
            <w:proofErr w:type="spellEnd"/>
            <w:r>
              <w:rPr>
                <w:rFonts w:cstheme="minorHAnsi"/>
                <w:color w:val="000000"/>
                <w:sz w:val="22"/>
                <w:szCs w:val="22"/>
              </w:rPr>
              <w:t xml:space="preserve"> do cordão umbilical</w:t>
            </w:r>
            <w:r w:rsidR="00653210">
              <w:rPr>
                <w:rFonts w:cstheme="minorHAnsi"/>
                <w:color w:val="000000"/>
                <w:sz w:val="22"/>
                <w:szCs w:val="22"/>
              </w:rPr>
              <w:t xml:space="preserve"> e o nascimento do bebé</w:t>
            </w:r>
          </w:p>
          <w:p w:rsidR="00A0025A" w:rsidRDefault="00A0025A" w:rsidP="00A0025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</w:p>
          <w:p w:rsidR="00D53A15" w:rsidRPr="00D53A15" w:rsidRDefault="00D53A15" w:rsidP="00A0025A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 xml:space="preserve">Nota: Os analgésicos devem ser administrados em altura própria (pré e </w:t>
            </w:r>
            <w:proofErr w:type="spellStart"/>
            <w:r>
              <w:rPr>
                <w:rFonts w:cstheme="minorHAnsi"/>
                <w:color w:val="000000"/>
                <w:sz w:val="22"/>
                <w:szCs w:val="22"/>
              </w:rPr>
              <w:t>intra-operatório</w:t>
            </w:r>
            <w:proofErr w:type="spellEnd"/>
            <w:r>
              <w:rPr>
                <w:rFonts w:cstheme="minorHAnsi"/>
                <w:color w:val="000000"/>
                <w:sz w:val="22"/>
                <w:szCs w:val="22"/>
              </w:rPr>
              <w:t>) para fornecer analgesia suficiente no período de recobro precoce</w:t>
            </w:r>
          </w:p>
        </w:tc>
      </w:tr>
      <w:tr w:rsidR="00D53A15" w:rsidTr="00E90D67">
        <w:tc>
          <w:tcPr>
            <w:tcW w:w="4414" w:type="dxa"/>
          </w:tcPr>
          <w:p w:rsidR="00D53A15" w:rsidRPr="00653210" w:rsidRDefault="00653210" w:rsidP="00A0025A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2"/>
                <w:szCs w:val="22"/>
              </w:rPr>
            </w:pPr>
            <w:proofErr w:type="spellStart"/>
            <w:r w:rsidRPr="00653210">
              <w:rPr>
                <w:rFonts w:cstheme="minorHAnsi"/>
                <w:b/>
                <w:color w:val="000000"/>
                <w:sz w:val="22"/>
                <w:szCs w:val="22"/>
              </w:rPr>
              <w:t>AINE’s</w:t>
            </w:r>
            <w:proofErr w:type="spellEnd"/>
            <w:r w:rsidRPr="00653210">
              <w:rPr>
                <w:rFonts w:cstheme="minorHAnsi"/>
                <w:b/>
                <w:color w:val="000000"/>
                <w:sz w:val="22"/>
                <w:szCs w:val="22"/>
              </w:rPr>
              <w:t xml:space="preserve"> EV pós-parto</w:t>
            </w:r>
          </w:p>
        </w:tc>
        <w:tc>
          <w:tcPr>
            <w:tcW w:w="4414" w:type="dxa"/>
          </w:tcPr>
          <w:p w:rsidR="00D53A15" w:rsidRDefault="00653210" w:rsidP="00A0025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 xml:space="preserve">Os </w:t>
            </w:r>
            <w:proofErr w:type="spellStart"/>
            <w:r>
              <w:rPr>
                <w:rFonts w:cstheme="minorHAnsi"/>
                <w:color w:val="000000"/>
                <w:sz w:val="22"/>
                <w:szCs w:val="22"/>
              </w:rPr>
              <w:t>AINE’s</w:t>
            </w:r>
            <w:proofErr w:type="spellEnd"/>
            <w:r>
              <w:rPr>
                <w:rFonts w:cstheme="minorHAnsi"/>
                <w:color w:val="000000"/>
                <w:sz w:val="22"/>
                <w:szCs w:val="22"/>
              </w:rPr>
              <w:t xml:space="preserve"> EV são recomendados no pós-parto (</w:t>
            </w:r>
            <w:proofErr w:type="spellStart"/>
            <w:r>
              <w:rPr>
                <w:rFonts w:cstheme="minorHAnsi"/>
                <w:color w:val="000000"/>
                <w:sz w:val="22"/>
                <w:szCs w:val="22"/>
              </w:rPr>
              <w:t>GoR</w:t>
            </w:r>
            <w:proofErr w:type="spellEnd"/>
            <w:r>
              <w:rPr>
                <w:rFonts w:cstheme="minorHAnsi"/>
                <w:color w:val="000000"/>
                <w:sz w:val="22"/>
                <w:szCs w:val="22"/>
              </w:rPr>
              <w:t xml:space="preserve"> A) com base em evidência procedimento-especifica (</w:t>
            </w:r>
            <w:proofErr w:type="spellStart"/>
            <w:r>
              <w:rPr>
                <w:rFonts w:cstheme="minorHAnsi"/>
                <w:color w:val="000000"/>
                <w:sz w:val="22"/>
                <w:szCs w:val="22"/>
              </w:rPr>
              <w:t>LoE</w:t>
            </w:r>
            <w:proofErr w:type="spellEnd"/>
            <w:r>
              <w:rPr>
                <w:rFonts w:cstheme="minorHAnsi"/>
                <w:color w:val="000000"/>
                <w:sz w:val="22"/>
                <w:szCs w:val="22"/>
              </w:rPr>
              <w:t xml:space="preserve"> 1) mesmo em mulheres a amamentar (</w:t>
            </w:r>
            <w:proofErr w:type="spellStart"/>
            <w:r>
              <w:rPr>
                <w:rFonts w:cstheme="minorHAnsi"/>
                <w:color w:val="000000"/>
                <w:sz w:val="22"/>
                <w:szCs w:val="22"/>
              </w:rPr>
              <w:t>LoE</w:t>
            </w:r>
            <w:proofErr w:type="spellEnd"/>
            <w:r>
              <w:rPr>
                <w:rFonts w:cstheme="minorHAnsi"/>
                <w:color w:val="000000"/>
                <w:sz w:val="22"/>
                <w:szCs w:val="22"/>
              </w:rPr>
              <w:t xml:space="preserve"> 3)</w:t>
            </w:r>
          </w:p>
        </w:tc>
      </w:tr>
      <w:tr w:rsidR="00653210" w:rsidTr="008C5C75">
        <w:trPr>
          <w:trHeight w:val="992"/>
        </w:trPr>
        <w:tc>
          <w:tcPr>
            <w:tcW w:w="4414" w:type="dxa"/>
          </w:tcPr>
          <w:p w:rsidR="00653210" w:rsidRPr="00653210" w:rsidRDefault="00653210" w:rsidP="00A0025A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653210">
              <w:rPr>
                <w:rFonts w:cstheme="minorHAnsi"/>
                <w:b/>
                <w:color w:val="000000"/>
                <w:sz w:val="22"/>
                <w:szCs w:val="22"/>
              </w:rPr>
              <w:lastRenderedPageBreak/>
              <w:t>Paracetamol EV pós-parto</w:t>
            </w:r>
          </w:p>
        </w:tc>
        <w:tc>
          <w:tcPr>
            <w:tcW w:w="4414" w:type="dxa"/>
          </w:tcPr>
          <w:p w:rsidR="00653210" w:rsidRDefault="00653210" w:rsidP="00A0025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O paracetamol EV é recomendado no pós-parto (</w:t>
            </w:r>
            <w:proofErr w:type="spellStart"/>
            <w:r>
              <w:rPr>
                <w:rFonts w:cstheme="minorHAnsi"/>
                <w:color w:val="000000"/>
                <w:sz w:val="22"/>
                <w:szCs w:val="22"/>
              </w:rPr>
              <w:t>GoR</w:t>
            </w:r>
            <w:proofErr w:type="spellEnd"/>
            <w:r>
              <w:rPr>
                <w:rFonts w:cstheme="minorHAnsi"/>
                <w:color w:val="000000"/>
                <w:sz w:val="22"/>
                <w:szCs w:val="22"/>
              </w:rPr>
              <w:t xml:space="preserve"> A) com base em evidência procedimento-especifica (</w:t>
            </w:r>
            <w:proofErr w:type="spellStart"/>
            <w:r>
              <w:rPr>
                <w:rFonts w:cstheme="minorHAnsi"/>
                <w:color w:val="000000"/>
                <w:sz w:val="22"/>
                <w:szCs w:val="22"/>
              </w:rPr>
              <w:t>LoE</w:t>
            </w:r>
            <w:proofErr w:type="spellEnd"/>
            <w:r>
              <w:rPr>
                <w:rFonts w:cstheme="minorHAnsi"/>
                <w:color w:val="000000"/>
                <w:sz w:val="22"/>
                <w:szCs w:val="22"/>
              </w:rPr>
              <w:t xml:space="preserve"> 1)</w:t>
            </w:r>
          </w:p>
        </w:tc>
      </w:tr>
      <w:tr w:rsidR="00653210" w:rsidTr="008C5C75">
        <w:trPr>
          <w:trHeight w:val="1261"/>
        </w:trPr>
        <w:tc>
          <w:tcPr>
            <w:tcW w:w="4414" w:type="dxa"/>
          </w:tcPr>
          <w:p w:rsidR="00653210" w:rsidRPr="00653210" w:rsidRDefault="00653210" w:rsidP="00A0025A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2"/>
                <w:szCs w:val="22"/>
              </w:rPr>
            </w:pPr>
            <w:r>
              <w:rPr>
                <w:rFonts w:cstheme="minorHAnsi"/>
                <w:b/>
                <w:color w:val="000000"/>
                <w:sz w:val="22"/>
                <w:szCs w:val="22"/>
              </w:rPr>
              <w:t xml:space="preserve">Bloqueio </w:t>
            </w:r>
            <w:proofErr w:type="spellStart"/>
            <w:r>
              <w:rPr>
                <w:rFonts w:cstheme="minorHAnsi"/>
                <w:b/>
                <w:color w:val="000000"/>
                <w:sz w:val="22"/>
                <w:szCs w:val="22"/>
              </w:rPr>
              <w:t>ilioinguinal</w:t>
            </w:r>
            <w:proofErr w:type="spellEnd"/>
            <w:r>
              <w:rPr>
                <w:rFonts w:cstheme="minorHAnsi"/>
                <w:b/>
                <w:color w:val="000000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cstheme="minorHAnsi"/>
                <w:b/>
                <w:color w:val="000000"/>
                <w:sz w:val="22"/>
                <w:szCs w:val="22"/>
              </w:rPr>
              <w:t>iliohipogástrico</w:t>
            </w:r>
            <w:proofErr w:type="spellEnd"/>
            <w:r>
              <w:rPr>
                <w:rFonts w:cstheme="minorHAnsi"/>
                <w:b/>
                <w:color w:val="000000"/>
                <w:sz w:val="22"/>
                <w:szCs w:val="22"/>
              </w:rPr>
              <w:t xml:space="preserve"> pós-parto</w:t>
            </w:r>
          </w:p>
        </w:tc>
        <w:tc>
          <w:tcPr>
            <w:tcW w:w="4414" w:type="dxa"/>
          </w:tcPr>
          <w:p w:rsidR="00653210" w:rsidRDefault="00653210" w:rsidP="00A0025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 xml:space="preserve">O bloqueio bilateral dos nervos </w:t>
            </w:r>
            <w:proofErr w:type="spellStart"/>
            <w:r>
              <w:rPr>
                <w:rFonts w:cstheme="minorHAnsi"/>
                <w:color w:val="000000"/>
                <w:sz w:val="22"/>
                <w:szCs w:val="22"/>
              </w:rPr>
              <w:t>ilioinguinal</w:t>
            </w:r>
            <w:proofErr w:type="spellEnd"/>
            <w:r>
              <w:rPr>
                <w:rFonts w:cstheme="minorHAnsi"/>
                <w:color w:val="000000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cstheme="minorHAnsi"/>
                <w:color w:val="000000"/>
                <w:sz w:val="22"/>
                <w:szCs w:val="22"/>
              </w:rPr>
              <w:t>iliohipogástrico</w:t>
            </w:r>
            <w:proofErr w:type="spellEnd"/>
            <w:r>
              <w:rPr>
                <w:rFonts w:cstheme="minorHAnsi"/>
                <w:color w:val="000000"/>
                <w:sz w:val="22"/>
                <w:szCs w:val="22"/>
              </w:rPr>
              <w:t xml:space="preserve"> é recomendado (</w:t>
            </w:r>
            <w:proofErr w:type="spellStart"/>
            <w:r>
              <w:rPr>
                <w:rFonts w:cstheme="minorHAnsi"/>
                <w:color w:val="000000"/>
                <w:sz w:val="22"/>
                <w:szCs w:val="22"/>
              </w:rPr>
              <w:t>GoR</w:t>
            </w:r>
            <w:proofErr w:type="spellEnd"/>
            <w:r>
              <w:rPr>
                <w:rFonts w:cstheme="minorHAnsi"/>
                <w:color w:val="000000"/>
                <w:sz w:val="22"/>
                <w:szCs w:val="22"/>
              </w:rPr>
              <w:t xml:space="preserve"> A) com base em evidência procedimento-especifica (</w:t>
            </w:r>
            <w:proofErr w:type="spellStart"/>
            <w:r>
              <w:rPr>
                <w:rFonts w:cstheme="minorHAnsi"/>
                <w:color w:val="000000"/>
                <w:sz w:val="22"/>
                <w:szCs w:val="22"/>
              </w:rPr>
              <w:t>LoE</w:t>
            </w:r>
            <w:proofErr w:type="spellEnd"/>
            <w:r>
              <w:rPr>
                <w:rFonts w:cstheme="minorHAnsi"/>
                <w:color w:val="000000"/>
                <w:sz w:val="22"/>
                <w:szCs w:val="22"/>
              </w:rPr>
              <w:t xml:space="preserve"> 1)</w:t>
            </w:r>
          </w:p>
        </w:tc>
      </w:tr>
      <w:tr w:rsidR="00653210" w:rsidTr="008C5C75">
        <w:trPr>
          <w:trHeight w:val="967"/>
        </w:trPr>
        <w:tc>
          <w:tcPr>
            <w:tcW w:w="4414" w:type="dxa"/>
          </w:tcPr>
          <w:p w:rsidR="00653210" w:rsidRPr="00653210" w:rsidRDefault="00653210" w:rsidP="00A0025A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2"/>
                <w:szCs w:val="22"/>
              </w:rPr>
            </w:pPr>
            <w:r>
              <w:rPr>
                <w:rFonts w:cstheme="minorHAnsi"/>
                <w:b/>
                <w:color w:val="000000"/>
                <w:sz w:val="22"/>
                <w:szCs w:val="22"/>
              </w:rPr>
              <w:t>Bloqueio TAP bilateral pós-parto</w:t>
            </w:r>
          </w:p>
        </w:tc>
        <w:tc>
          <w:tcPr>
            <w:tcW w:w="4414" w:type="dxa"/>
          </w:tcPr>
          <w:p w:rsidR="00653210" w:rsidRDefault="00653210" w:rsidP="00A0025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O bloqueio bilateral TAP é recomendado (</w:t>
            </w:r>
            <w:proofErr w:type="spellStart"/>
            <w:r>
              <w:rPr>
                <w:rFonts w:cstheme="minorHAnsi"/>
                <w:color w:val="000000"/>
                <w:sz w:val="22"/>
                <w:szCs w:val="22"/>
              </w:rPr>
              <w:t>GoR</w:t>
            </w:r>
            <w:proofErr w:type="spellEnd"/>
            <w:r>
              <w:rPr>
                <w:rFonts w:cstheme="minorHAnsi"/>
                <w:color w:val="000000"/>
                <w:sz w:val="22"/>
                <w:szCs w:val="22"/>
              </w:rPr>
              <w:t xml:space="preserve"> A) com base em evidência procedimento-especifica (</w:t>
            </w:r>
            <w:proofErr w:type="spellStart"/>
            <w:r>
              <w:rPr>
                <w:rFonts w:cstheme="minorHAnsi"/>
                <w:color w:val="000000"/>
                <w:sz w:val="22"/>
                <w:szCs w:val="22"/>
              </w:rPr>
              <w:t>LoE</w:t>
            </w:r>
            <w:proofErr w:type="spellEnd"/>
            <w:r>
              <w:rPr>
                <w:rFonts w:cstheme="minorHAnsi"/>
                <w:color w:val="000000"/>
                <w:sz w:val="22"/>
                <w:szCs w:val="22"/>
              </w:rPr>
              <w:t xml:space="preserve"> 1)</w:t>
            </w:r>
          </w:p>
        </w:tc>
      </w:tr>
      <w:tr w:rsidR="00653210" w:rsidTr="008C5C75">
        <w:trPr>
          <w:trHeight w:val="995"/>
        </w:trPr>
        <w:tc>
          <w:tcPr>
            <w:tcW w:w="4414" w:type="dxa"/>
          </w:tcPr>
          <w:p w:rsidR="00653210" w:rsidRPr="00653210" w:rsidRDefault="00653210" w:rsidP="00A0025A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2"/>
                <w:szCs w:val="22"/>
              </w:rPr>
            </w:pPr>
            <w:r>
              <w:rPr>
                <w:rFonts w:cstheme="minorHAnsi"/>
                <w:b/>
                <w:color w:val="000000"/>
                <w:sz w:val="22"/>
                <w:szCs w:val="22"/>
              </w:rPr>
              <w:t>Infiltração da ferida com anestésico local pós-parto</w:t>
            </w:r>
          </w:p>
        </w:tc>
        <w:tc>
          <w:tcPr>
            <w:tcW w:w="4414" w:type="dxa"/>
          </w:tcPr>
          <w:p w:rsidR="00653210" w:rsidRDefault="00653210" w:rsidP="00A0025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A infiltração da ferida com anestésico local é recomendada (</w:t>
            </w:r>
            <w:proofErr w:type="spellStart"/>
            <w:r>
              <w:rPr>
                <w:rFonts w:cstheme="minorHAnsi"/>
                <w:color w:val="000000"/>
                <w:sz w:val="22"/>
                <w:szCs w:val="22"/>
              </w:rPr>
              <w:t>GoR</w:t>
            </w:r>
            <w:proofErr w:type="spellEnd"/>
            <w:r>
              <w:rPr>
                <w:rFonts w:cstheme="minorHAnsi"/>
                <w:color w:val="000000"/>
                <w:sz w:val="22"/>
                <w:szCs w:val="22"/>
              </w:rPr>
              <w:t xml:space="preserve"> A) com base em evidência procedimento-especifica (</w:t>
            </w:r>
            <w:proofErr w:type="spellStart"/>
            <w:r>
              <w:rPr>
                <w:rFonts w:cstheme="minorHAnsi"/>
                <w:color w:val="000000"/>
                <w:sz w:val="22"/>
                <w:szCs w:val="22"/>
              </w:rPr>
              <w:t>LoE</w:t>
            </w:r>
            <w:proofErr w:type="spellEnd"/>
            <w:r>
              <w:rPr>
                <w:rFonts w:cstheme="minorHAnsi"/>
                <w:color w:val="000000"/>
                <w:sz w:val="22"/>
                <w:szCs w:val="22"/>
              </w:rPr>
              <w:t xml:space="preserve"> 1)</w:t>
            </w:r>
          </w:p>
        </w:tc>
      </w:tr>
      <w:tr w:rsidR="00653210" w:rsidRPr="00653210" w:rsidTr="008C5C75">
        <w:trPr>
          <w:trHeight w:val="1974"/>
        </w:trPr>
        <w:tc>
          <w:tcPr>
            <w:tcW w:w="8828" w:type="dxa"/>
            <w:gridSpan w:val="2"/>
          </w:tcPr>
          <w:p w:rsidR="00653210" w:rsidRDefault="00653210" w:rsidP="00A0025A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653210">
              <w:rPr>
                <w:rFonts w:cstheme="minorHAnsi"/>
                <w:b/>
                <w:color w:val="000000"/>
                <w:sz w:val="22"/>
                <w:szCs w:val="22"/>
              </w:rPr>
              <w:t>Intervenções pós-operatórias recomendadas para cesariana</w:t>
            </w:r>
          </w:p>
          <w:p w:rsidR="00A0025A" w:rsidRDefault="00A0025A" w:rsidP="00A0025A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2"/>
                <w:szCs w:val="22"/>
              </w:rPr>
            </w:pPr>
          </w:p>
          <w:p w:rsidR="00653210" w:rsidRDefault="00653210" w:rsidP="00A0025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 xml:space="preserve">Nota: “Pós-operatório” refere-se às intervenções aplicadas durante ou após o encerramento da ferida. </w:t>
            </w:r>
          </w:p>
          <w:p w:rsidR="00A0025A" w:rsidRDefault="00A0025A" w:rsidP="00A0025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</w:p>
          <w:p w:rsidR="00653210" w:rsidRPr="00653210" w:rsidRDefault="00653210" w:rsidP="00A0025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 xml:space="preserve">Nota: Os analgésicos devem ser administrados em altura própria (pré e </w:t>
            </w:r>
            <w:proofErr w:type="spellStart"/>
            <w:r>
              <w:rPr>
                <w:rFonts w:cstheme="minorHAnsi"/>
                <w:color w:val="000000"/>
                <w:sz w:val="22"/>
                <w:szCs w:val="22"/>
              </w:rPr>
              <w:t>intra-operatório</w:t>
            </w:r>
            <w:proofErr w:type="spellEnd"/>
            <w:r>
              <w:rPr>
                <w:rFonts w:cstheme="minorHAnsi"/>
                <w:color w:val="000000"/>
                <w:sz w:val="22"/>
                <w:szCs w:val="22"/>
              </w:rPr>
              <w:t>) para fornecer analgesia suficiente no período de recobro precoce</w:t>
            </w:r>
          </w:p>
        </w:tc>
      </w:tr>
    </w:tbl>
    <w:p w:rsidR="00E90D67" w:rsidRPr="00E90D67" w:rsidRDefault="00E90D67" w:rsidP="00E90D67">
      <w:pPr>
        <w:autoSpaceDE w:val="0"/>
        <w:autoSpaceDN w:val="0"/>
        <w:adjustRightInd w:val="0"/>
        <w:spacing w:after="240"/>
        <w:rPr>
          <w:rFonts w:cstheme="minorHAnsi"/>
          <w:color w:val="000000"/>
          <w:sz w:val="22"/>
          <w:szCs w:val="22"/>
        </w:rPr>
        <w:sectPr w:rsidR="00E90D67" w:rsidRPr="00E90D67" w:rsidSect="00202BCE">
          <w:pgSz w:w="12240" w:h="15840"/>
          <w:pgMar w:top="1417" w:right="1701" w:bottom="1417" w:left="1701" w:header="720" w:footer="720" w:gutter="0"/>
          <w:cols w:space="720"/>
          <w:noEndnote/>
        </w:sectPr>
      </w:pPr>
    </w:p>
    <w:p w:rsidR="0091166A" w:rsidRPr="008C14D8" w:rsidRDefault="0091166A" w:rsidP="00E23B48">
      <w:pPr>
        <w:autoSpaceDE w:val="0"/>
        <w:autoSpaceDN w:val="0"/>
        <w:adjustRightInd w:val="0"/>
        <w:spacing w:after="240"/>
        <w:rPr>
          <w:rFonts w:cstheme="minorHAnsi"/>
          <w:color w:val="000000"/>
          <w:sz w:val="22"/>
          <w:szCs w:val="22"/>
        </w:rPr>
        <w:sectPr w:rsidR="0091166A" w:rsidRPr="008C14D8" w:rsidSect="0091166A">
          <w:type w:val="continuous"/>
          <w:pgSz w:w="12240" w:h="15840"/>
          <w:pgMar w:top="1417" w:right="1701" w:bottom="1417" w:left="1701" w:header="720" w:footer="720" w:gutter="0"/>
          <w:cols w:space="720"/>
          <w:noEndnote/>
        </w:sectPr>
      </w:pPr>
    </w:p>
    <w:p w:rsidR="0091166A" w:rsidRDefault="00BA7541" w:rsidP="00E23B48">
      <w:pPr>
        <w:autoSpaceDE w:val="0"/>
        <w:autoSpaceDN w:val="0"/>
        <w:adjustRightInd w:val="0"/>
        <w:spacing w:after="240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Recomendações Gerais: Tratamento Da Dor Após Cesariana Eletiva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830"/>
        <w:gridCol w:w="5998"/>
      </w:tblGrid>
      <w:tr w:rsidR="00BA7541" w:rsidTr="00BA7541">
        <w:tc>
          <w:tcPr>
            <w:tcW w:w="2830" w:type="dxa"/>
          </w:tcPr>
          <w:p w:rsidR="00BA7541" w:rsidRPr="00BA7541" w:rsidRDefault="00BA7541" w:rsidP="00E23B48">
            <w:pPr>
              <w:autoSpaceDE w:val="0"/>
              <w:autoSpaceDN w:val="0"/>
              <w:adjustRightInd w:val="0"/>
              <w:spacing w:after="240"/>
              <w:rPr>
                <w:rFonts w:cstheme="minorHAnsi"/>
                <w:b/>
                <w:color w:val="000000"/>
                <w:sz w:val="22"/>
                <w:szCs w:val="22"/>
              </w:rPr>
            </w:pPr>
            <w:r>
              <w:rPr>
                <w:rFonts w:cstheme="minorHAnsi"/>
                <w:b/>
                <w:color w:val="000000"/>
                <w:sz w:val="22"/>
                <w:szCs w:val="22"/>
              </w:rPr>
              <w:t>Pré-operatório</w:t>
            </w:r>
          </w:p>
        </w:tc>
        <w:tc>
          <w:tcPr>
            <w:tcW w:w="5998" w:type="dxa"/>
          </w:tcPr>
          <w:p w:rsidR="00BA7541" w:rsidRDefault="00BA7541" w:rsidP="00E23B48">
            <w:pPr>
              <w:autoSpaceDE w:val="0"/>
              <w:autoSpaceDN w:val="0"/>
              <w:adjustRightInd w:val="0"/>
              <w:spacing w:after="24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cstheme="minorHAnsi"/>
                <w:color w:val="000000"/>
                <w:sz w:val="22"/>
                <w:szCs w:val="22"/>
              </w:rPr>
              <w:t>Gabapentina</w:t>
            </w:r>
            <w:proofErr w:type="spellEnd"/>
            <w:r>
              <w:rPr>
                <w:rFonts w:cstheme="minorHAnsi"/>
                <w:color w:val="000000"/>
                <w:sz w:val="22"/>
                <w:szCs w:val="22"/>
              </w:rPr>
              <w:t xml:space="preserve"> oral</w:t>
            </w:r>
          </w:p>
        </w:tc>
      </w:tr>
      <w:tr w:rsidR="00BA7541" w:rsidTr="00BA7541">
        <w:tc>
          <w:tcPr>
            <w:tcW w:w="2830" w:type="dxa"/>
          </w:tcPr>
          <w:p w:rsidR="00BA7541" w:rsidRDefault="00BA7541" w:rsidP="00E23B48">
            <w:pPr>
              <w:autoSpaceDE w:val="0"/>
              <w:autoSpaceDN w:val="0"/>
              <w:adjustRightInd w:val="0"/>
              <w:spacing w:after="240"/>
              <w:rPr>
                <w:rFonts w:cstheme="minorHAnsi"/>
                <w:b/>
                <w:color w:val="000000"/>
                <w:sz w:val="22"/>
                <w:szCs w:val="22"/>
              </w:rPr>
            </w:pPr>
            <w:r>
              <w:rPr>
                <w:rFonts w:cstheme="minorHAnsi"/>
                <w:b/>
                <w:color w:val="000000"/>
                <w:sz w:val="22"/>
                <w:szCs w:val="22"/>
              </w:rPr>
              <w:t>Pré-/</w:t>
            </w:r>
            <w:proofErr w:type="spellStart"/>
            <w:r>
              <w:rPr>
                <w:rFonts w:cstheme="minorHAnsi"/>
                <w:b/>
                <w:color w:val="000000"/>
                <w:sz w:val="22"/>
                <w:szCs w:val="22"/>
              </w:rPr>
              <w:t>intra-operatório</w:t>
            </w:r>
            <w:proofErr w:type="spellEnd"/>
          </w:p>
          <w:p w:rsidR="00BA7541" w:rsidRPr="00BA7541" w:rsidRDefault="00BA7541" w:rsidP="00E23B48">
            <w:pPr>
              <w:autoSpaceDE w:val="0"/>
              <w:autoSpaceDN w:val="0"/>
              <w:adjustRightInd w:val="0"/>
              <w:spacing w:after="240"/>
              <w:rPr>
                <w:rFonts w:cstheme="minorHAnsi"/>
                <w:b/>
                <w:color w:val="000000"/>
                <w:sz w:val="22"/>
                <w:szCs w:val="22"/>
              </w:rPr>
            </w:pPr>
            <w:r>
              <w:rPr>
                <w:rFonts w:cstheme="minorHAnsi"/>
                <w:b/>
                <w:color w:val="000000"/>
                <w:sz w:val="22"/>
                <w:szCs w:val="22"/>
              </w:rPr>
              <w:t>Técnica anestésica</w:t>
            </w:r>
          </w:p>
        </w:tc>
        <w:tc>
          <w:tcPr>
            <w:tcW w:w="5998" w:type="dxa"/>
          </w:tcPr>
          <w:p w:rsidR="00BA7541" w:rsidRDefault="00BA7541" w:rsidP="00E23B48">
            <w:pPr>
              <w:autoSpaceDE w:val="0"/>
              <w:autoSpaceDN w:val="0"/>
              <w:adjustRightInd w:val="0"/>
              <w:spacing w:after="240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CNE ou BSA*</w:t>
            </w:r>
          </w:p>
        </w:tc>
      </w:tr>
      <w:tr w:rsidR="00BA7541" w:rsidTr="00BA7541">
        <w:tc>
          <w:tcPr>
            <w:tcW w:w="2830" w:type="dxa"/>
          </w:tcPr>
          <w:p w:rsidR="00BA7541" w:rsidRPr="00BA7541" w:rsidRDefault="00BA7541" w:rsidP="00E23B48">
            <w:pPr>
              <w:autoSpaceDE w:val="0"/>
              <w:autoSpaceDN w:val="0"/>
              <w:adjustRightInd w:val="0"/>
              <w:spacing w:after="240"/>
              <w:rPr>
                <w:rFonts w:cstheme="minorHAns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cstheme="minorHAnsi"/>
                <w:b/>
                <w:color w:val="000000"/>
                <w:sz w:val="22"/>
                <w:szCs w:val="22"/>
              </w:rPr>
              <w:t>Intra-operatório</w:t>
            </w:r>
            <w:proofErr w:type="spellEnd"/>
            <w:r>
              <w:rPr>
                <w:rFonts w:cstheme="minorHAnsi"/>
                <w:b/>
                <w:color w:val="000000"/>
                <w:sz w:val="22"/>
                <w:szCs w:val="22"/>
              </w:rPr>
              <w:t>, pós-parto</w:t>
            </w:r>
          </w:p>
        </w:tc>
        <w:tc>
          <w:tcPr>
            <w:tcW w:w="5998" w:type="dxa"/>
          </w:tcPr>
          <w:p w:rsidR="00BA7541" w:rsidRDefault="00BA7541" w:rsidP="00E23B48">
            <w:pPr>
              <w:autoSpaceDE w:val="0"/>
              <w:autoSpaceDN w:val="0"/>
              <w:adjustRightInd w:val="0"/>
              <w:spacing w:after="240"/>
              <w:rPr>
                <w:rFonts w:cstheme="minorHAnsi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 xml:space="preserve">Paracetamol EV + </w:t>
            </w:r>
            <w:proofErr w:type="spellStart"/>
            <w:r>
              <w:rPr>
                <w:rFonts w:cstheme="minorHAnsi"/>
                <w:color w:val="000000"/>
                <w:sz w:val="22"/>
                <w:szCs w:val="22"/>
              </w:rPr>
              <w:t>AINE’s</w:t>
            </w:r>
            <w:proofErr w:type="spellEnd"/>
            <w:r>
              <w:rPr>
                <w:rFonts w:cstheme="minorHAnsi"/>
                <w:color w:val="000000"/>
                <w:sz w:val="22"/>
                <w:szCs w:val="22"/>
              </w:rPr>
              <w:t xml:space="preserve"> EV </w:t>
            </w:r>
            <w:r w:rsidRPr="00BA7541">
              <w:rPr>
                <w:rFonts w:cstheme="minorHAnsi"/>
                <w:color w:val="000000"/>
                <w:sz w:val="22"/>
                <w:szCs w:val="22"/>
                <w:vertAlign w:val="superscript"/>
              </w:rPr>
              <w:t>#</w:t>
            </w:r>
          </w:p>
          <w:p w:rsidR="00BA7541" w:rsidRPr="00BA7541" w:rsidRDefault="00BA7541" w:rsidP="00E23B48">
            <w:pPr>
              <w:autoSpaceDE w:val="0"/>
              <w:autoSpaceDN w:val="0"/>
              <w:adjustRightInd w:val="0"/>
              <w:spacing w:after="240"/>
              <w:rPr>
                <w:rFonts w:cstheme="minorHAnsi"/>
                <w:b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 xml:space="preserve">Infiltração da ferida com Al </w:t>
            </w:r>
            <w:r>
              <w:rPr>
                <w:rFonts w:cstheme="minorHAnsi"/>
                <w:b/>
                <w:color w:val="000000"/>
                <w:sz w:val="22"/>
                <w:szCs w:val="22"/>
              </w:rPr>
              <w:t xml:space="preserve">ou </w:t>
            </w:r>
            <w:r>
              <w:rPr>
                <w:rFonts w:cstheme="minorHAnsi"/>
                <w:color w:val="000000"/>
                <w:sz w:val="22"/>
                <w:szCs w:val="22"/>
              </w:rPr>
              <w:t xml:space="preserve">bloqueio TAP bilateral </w:t>
            </w:r>
            <w:r>
              <w:rPr>
                <w:rFonts w:cstheme="minorHAnsi"/>
                <w:b/>
                <w:color w:val="000000"/>
                <w:sz w:val="22"/>
                <w:szCs w:val="22"/>
              </w:rPr>
              <w:t xml:space="preserve">ou </w:t>
            </w:r>
            <w:r>
              <w:rPr>
                <w:rFonts w:cstheme="minorHAnsi"/>
                <w:color w:val="000000"/>
                <w:sz w:val="22"/>
                <w:szCs w:val="22"/>
              </w:rPr>
              <w:t xml:space="preserve">bloqueio </w:t>
            </w:r>
            <w:proofErr w:type="spellStart"/>
            <w:r>
              <w:rPr>
                <w:rFonts w:cstheme="minorHAnsi"/>
                <w:color w:val="000000"/>
                <w:sz w:val="22"/>
                <w:szCs w:val="22"/>
              </w:rPr>
              <w:t>ilioinguinal</w:t>
            </w:r>
            <w:proofErr w:type="spellEnd"/>
            <w:r>
              <w:rPr>
                <w:rFonts w:cstheme="minorHAnsi"/>
                <w:color w:val="000000"/>
                <w:sz w:val="22"/>
                <w:szCs w:val="22"/>
              </w:rPr>
              <w:t xml:space="preserve"> /</w:t>
            </w:r>
            <w:proofErr w:type="spellStart"/>
            <w:r>
              <w:rPr>
                <w:rFonts w:cstheme="minorHAnsi"/>
                <w:color w:val="000000"/>
                <w:sz w:val="22"/>
                <w:szCs w:val="22"/>
              </w:rPr>
              <w:t>iliohipogástrico</w:t>
            </w:r>
            <w:proofErr w:type="spellEnd"/>
            <w:r>
              <w:rPr>
                <w:rFonts w:cstheme="minorHAnsi"/>
                <w:color w:val="000000"/>
                <w:sz w:val="22"/>
                <w:szCs w:val="22"/>
              </w:rPr>
              <w:t xml:space="preserve"> bilateral</w:t>
            </w:r>
            <w:r>
              <w:rPr>
                <w:rFonts w:cstheme="minorHAnsi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BA7541" w:rsidTr="00BA7541">
        <w:tc>
          <w:tcPr>
            <w:tcW w:w="2830" w:type="dxa"/>
          </w:tcPr>
          <w:p w:rsidR="00BA7541" w:rsidRPr="00BA7541" w:rsidRDefault="00BA7541" w:rsidP="00E23B48">
            <w:pPr>
              <w:autoSpaceDE w:val="0"/>
              <w:autoSpaceDN w:val="0"/>
              <w:adjustRightInd w:val="0"/>
              <w:spacing w:after="240"/>
              <w:rPr>
                <w:rFonts w:cstheme="minorHAnsi"/>
                <w:b/>
                <w:color w:val="000000"/>
                <w:sz w:val="22"/>
                <w:szCs w:val="22"/>
              </w:rPr>
            </w:pPr>
            <w:r>
              <w:rPr>
                <w:rFonts w:cstheme="minorHAnsi"/>
                <w:b/>
                <w:color w:val="000000"/>
                <w:sz w:val="22"/>
                <w:szCs w:val="22"/>
              </w:rPr>
              <w:t>Técnica cirúrgica</w:t>
            </w:r>
          </w:p>
        </w:tc>
        <w:tc>
          <w:tcPr>
            <w:tcW w:w="5998" w:type="dxa"/>
          </w:tcPr>
          <w:p w:rsidR="00BA7541" w:rsidRDefault="00BA7541" w:rsidP="00E23B48">
            <w:pPr>
              <w:autoSpaceDE w:val="0"/>
              <w:autoSpaceDN w:val="0"/>
              <w:adjustRightInd w:val="0"/>
              <w:spacing w:after="240"/>
              <w:rPr>
                <w:rFonts w:cstheme="minorHAnsi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 xml:space="preserve">Incisão transversal </w:t>
            </w:r>
            <w:r w:rsidRPr="00BA7541">
              <w:rPr>
                <w:rFonts w:cstheme="minorHAnsi"/>
                <w:color w:val="000000"/>
                <w:sz w:val="22"/>
                <w:szCs w:val="22"/>
                <w:vertAlign w:val="superscript"/>
              </w:rPr>
              <w:t>±</w:t>
            </w:r>
          </w:p>
          <w:p w:rsidR="00BA7541" w:rsidRPr="00BA7541" w:rsidRDefault="00BA7541" w:rsidP="00E23B48">
            <w:pPr>
              <w:autoSpaceDE w:val="0"/>
              <w:autoSpaceDN w:val="0"/>
              <w:adjustRightInd w:val="0"/>
              <w:spacing w:after="240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Não encerramento do peritoneu</w:t>
            </w:r>
          </w:p>
        </w:tc>
      </w:tr>
      <w:tr w:rsidR="00BA7541" w:rsidTr="00BA7541">
        <w:tc>
          <w:tcPr>
            <w:tcW w:w="2830" w:type="dxa"/>
          </w:tcPr>
          <w:p w:rsidR="00BA7541" w:rsidRPr="00BA7541" w:rsidRDefault="00BA7541" w:rsidP="00E23B48">
            <w:pPr>
              <w:autoSpaceDE w:val="0"/>
              <w:autoSpaceDN w:val="0"/>
              <w:adjustRightInd w:val="0"/>
              <w:spacing w:after="240"/>
              <w:rPr>
                <w:rFonts w:cstheme="minorHAnsi"/>
                <w:b/>
                <w:color w:val="000000"/>
                <w:sz w:val="22"/>
                <w:szCs w:val="22"/>
              </w:rPr>
            </w:pPr>
            <w:r>
              <w:rPr>
                <w:rFonts w:cstheme="minorHAnsi"/>
                <w:b/>
                <w:color w:val="000000"/>
                <w:sz w:val="22"/>
                <w:szCs w:val="22"/>
              </w:rPr>
              <w:t>Pós-operatório</w:t>
            </w:r>
          </w:p>
        </w:tc>
        <w:tc>
          <w:tcPr>
            <w:tcW w:w="5998" w:type="dxa"/>
          </w:tcPr>
          <w:p w:rsidR="00BA7541" w:rsidRDefault="00BA7541" w:rsidP="00E23B48">
            <w:pPr>
              <w:autoSpaceDE w:val="0"/>
              <w:autoSpaceDN w:val="0"/>
              <w:adjustRightInd w:val="0"/>
              <w:spacing w:after="240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 xml:space="preserve">Paracetamol oral + AINE oral </w:t>
            </w:r>
            <w:r w:rsidR="0074069E">
              <w:rPr>
                <w:rFonts w:cstheme="minorHAnsi"/>
                <w:color w:val="000000"/>
                <w:sz w:val="22"/>
                <w:szCs w:val="22"/>
              </w:rPr>
              <w:t xml:space="preserve">+ </w:t>
            </w:r>
            <w:proofErr w:type="spellStart"/>
            <w:r w:rsidR="0074069E">
              <w:rPr>
                <w:rFonts w:cstheme="minorHAnsi"/>
                <w:color w:val="000000"/>
                <w:sz w:val="22"/>
                <w:szCs w:val="22"/>
              </w:rPr>
              <w:t>opióide</w:t>
            </w:r>
            <w:proofErr w:type="spellEnd"/>
            <w:r w:rsidR="0074069E">
              <w:rPr>
                <w:rFonts w:cstheme="minorHAnsi"/>
                <w:color w:val="000000"/>
                <w:sz w:val="22"/>
                <w:szCs w:val="22"/>
              </w:rPr>
              <w:t xml:space="preserve"> sistémico como resgate</w:t>
            </w:r>
          </w:p>
          <w:p w:rsidR="00BA7541" w:rsidRDefault="0074069E" w:rsidP="00E23B48">
            <w:pPr>
              <w:autoSpaceDE w:val="0"/>
              <w:autoSpaceDN w:val="0"/>
              <w:adjustRightInd w:val="0"/>
              <w:spacing w:after="240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Infusão contínua da ferida com AL</w:t>
            </w:r>
          </w:p>
        </w:tc>
      </w:tr>
    </w:tbl>
    <w:p w:rsidR="00BA7541" w:rsidRDefault="00BA7541" w:rsidP="00E23B48">
      <w:pPr>
        <w:autoSpaceDE w:val="0"/>
        <w:autoSpaceDN w:val="0"/>
        <w:adjustRightInd w:val="0"/>
        <w:spacing w:after="240"/>
        <w:rPr>
          <w:rFonts w:cstheme="minorHAnsi"/>
          <w:color w:val="000000"/>
          <w:sz w:val="22"/>
          <w:szCs w:val="22"/>
        </w:rPr>
      </w:pPr>
    </w:p>
    <w:p w:rsidR="0074069E" w:rsidRDefault="008C5C75" w:rsidP="00E23B48">
      <w:pPr>
        <w:autoSpaceDE w:val="0"/>
        <w:autoSpaceDN w:val="0"/>
        <w:adjustRightInd w:val="0"/>
        <w:spacing w:after="240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lastRenderedPageBreak/>
        <w:t>* M</w:t>
      </w:r>
      <w:r w:rsidR="0074069E">
        <w:rPr>
          <w:rFonts w:cstheme="minorHAnsi"/>
          <w:color w:val="000000"/>
          <w:sz w:val="22"/>
          <w:szCs w:val="22"/>
        </w:rPr>
        <w:t xml:space="preserve">orfina </w:t>
      </w:r>
      <w:proofErr w:type="spellStart"/>
      <w:r w:rsidR="0074069E">
        <w:rPr>
          <w:rFonts w:cstheme="minorHAnsi"/>
          <w:color w:val="000000"/>
          <w:sz w:val="22"/>
          <w:szCs w:val="22"/>
        </w:rPr>
        <w:t>intratecal</w:t>
      </w:r>
      <w:proofErr w:type="spellEnd"/>
      <w:r w:rsidR="0074069E">
        <w:rPr>
          <w:rFonts w:cstheme="minorHAnsi"/>
          <w:color w:val="000000"/>
          <w:sz w:val="22"/>
          <w:szCs w:val="22"/>
        </w:rPr>
        <w:t>/</w:t>
      </w:r>
      <w:proofErr w:type="spellStart"/>
      <w:r w:rsidR="0074069E">
        <w:rPr>
          <w:rFonts w:cstheme="minorHAnsi"/>
          <w:color w:val="000000"/>
          <w:sz w:val="22"/>
          <w:szCs w:val="22"/>
        </w:rPr>
        <w:t>opióides</w:t>
      </w:r>
      <w:proofErr w:type="spellEnd"/>
      <w:r w:rsidR="0074069E">
        <w:rPr>
          <w:rFonts w:cstheme="minorHAnsi"/>
          <w:color w:val="000000"/>
          <w:sz w:val="22"/>
          <w:szCs w:val="22"/>
        </w:rPr>
        <w:t xml:space="preserve"> epidurais são recomendados, mas devem ser consideradas técnicas analgésicas alternativas, tais como infiltração da ferida com AL, bloqueio TAP, bloqueio </w:t>
      </w:r>
      <w:proofErr w:type="spellStart"/>
      <w:r w:rsidR="0074069E">
        <w:rPr>
          <w:rFonts w:cstheme="minorHAnsi"/>
          <w:color w:val="000000"/>
          <w:sz w:val="22"/>
          <w:szCs w:val="22"/>
        </w:rPr>
        <w:t>ilioinguinal</w:t>
      </w:r>
      <w:proofErr w:type="spellEnd"/>
      <w:r w:rsidR="0074069E">
        <w:rPr>
          <w:rFonts w:cstheme="minorHAnsi"/>
          <w:color w:val="000000"/>
          <w:sz w:val="22"/>
          <w:szCs w:val="22"/>
        </w:rPr>
        <w:t>/</w:t>
      </w:r>
      <w:proofErr w:type="spellStart"/>
      <w:r w:rsidR="0074069E">
        <w:rPr>
          <w:rFonts w:cstheme="minorHAnsi"/>
          <w:color w:val="000000"/>
          <w:sz w:val="22"/>
          <w:szCs w:val="22"/>
        </w:rPr>
        <w:t>iliohipogástrico</w:t>
      </w:r>
      <w:proofErr w:type="spellEnd"/>
      <w:r w:rsidR="0074069E">
        <w:rPr>
          <w:rFonts w:cstheme="minorHAnsi"/>
          <w:color w:val="000000"/>
          <w:sz w:val="22"/>
          <w:szCs w:val="22"/>
        </w:rPr>
        <w:t xml:space="preserve"> para evitar potenciais efeitos laterais relacionados com os </w:t>
      </w:r>
      <w:proofErr w:type="spellStart"/>
      <w:r w:rsidR="0074069E">
        <w:rPr>
          <w:rFonts w:cstheme="minorHAnsi"/>
          <w:color w:val="000000"/>
          <w:sz w:val="22"/>
          <w:szCs w:val="22"/>
        </w:rPr>
        <w:t>opióides</w:t>
      </w:r>
      <w:proofErr w:type="spellEnd"/>
      <w:r w:rsidR="0074069E">
        <w:rPr>
          <w:rFonts w:cstheme="minorHAnsi"/>
          <w:color w:val="000000"/>
          <w:sz w:val="22"/>
          <w:szCs w:val="22"/>
        </w:rPr>
        <w:t xml:space="preserve"> administrados por via </w:t>
      </w:r>
      <w:proofErr w:type="spellStart"/>
      <w:r w:rsidR="0074069E">
        <w:rPr>
          <w:rFonts w:cstheme="minorHAnsi"/>
          <w:color w:val="000000"/>
          <w:sz w:val="22"/>
          <w:szCs w:val="22"/>
        </w:rPr>
        <w:t>neuroaxial</w:t>
      </w:r>
      <w:proofErr w:type="spellEnd"/>
    </w:p>
    <w:p w:rsidR="0074069E" w:rsidRDefault="0074069E" w:rsidP="00E23B48">
      <w:pPr>
        <w:autoSpaceDE w:val="0"/>
        <w:autoSpaceDN w:val="0"/>
        <w:adjustRightInd w:val="0"/>
        <w:spacing w:after="240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 xml:space="preserve"># o paracetamol EV e o AINE EV podem não ser necessários se forem usados </w:t>
      </w:r>
      <w:proofErr w:type="spellStart"/>
      <w:r>
        <w:rPr>
          <w:rFonts w:cstheme="minorHAnsi"/>
          <w:color w:val="000000"/>
          <w:sz w:val="22"/>
          <w:szCs w:val="22"/>
        </w:rPr>
        <w:t>opióides</w:t>
      </w:r>
      <w:proofErr w:type="spellEnd"/>
      <w:r>
        <w:rPr>
          <w:rFonts w:cstheme="minorHAnsi"/>
          <w:color w:val="000000"/>
          <w:sz w:val="22"/>
          <w:szCs w:val="22"/>
        </w:rPr>
        <w:t xml:space="preserve"> no </w:t>
      </w:r>
      <w:proofErr w:type="spellStart"/>
      <w:r>
        <w:rPr>
          <w:rFonts w:cstheme="minorHAnsi"/>
          <w:color w:val="000000"/>
          <w:sz w:val="22"/>
          <w:szCs w:val="22"/>
        </w:rPr>
        <w:t>neuroeixo</w:t>
      </w:r>
      <w:proofErr w:type="spellEnd"/>
    </w:p>
    <w:p w:rsidR="0074069E" w:rsidRDefault="0074069E" w:rsidP="00E23B48">
      <w:pPr>
        <w:autoSpaceDE w:val="0"/>
        <w:autoSpaceDN w:val="0"/>
        <w:adjustRightInd w:val="0"/>
        <w:spacing w:after="240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± De entre as incisões transversas, a incisão de Joel-Cohen e modificações semelhantes são sup</w:t>
      </w:r>
      <w:r w:rsidR="00246C84">
        <w:rPr>
          <w:rFonts w:cstheme="minorHAnsi"/>
          <w:color w:val="000000"/>
          <w:sz w:val="22"/>
          <w:szCs w:val="22"/>
        </w:rPr>
        <w:t xml:space="preserve">eriores à incisão de </w:t>
      </w:r>
      <w:proofErr w:type="spellStart"/>
      <w:r w:rsidR="00246C84">
        <w:rPr>
          <w:rFonts w:cstheme="minorHAnsi"/>
          <w:color w:val="000000"/>
          <w:sz w:val="22"/>
          <w:szCs w:val="22"/>
        </w:rPr>
        <w:t>Pfannenstie</w:t>
      </w:r>
      <w:r>
        <w:rPr>
          <w:rFonts w:cstheme="minorHAnsi"/>
          <w:color w:val="000000"/>
          <w:sz w:val="22"/>
          <w:szCs w:val="22"/>
        </w:rPr>
        <w:t>l</w:t>
      </w:r>
      <w:proofErr w:type="spellEnd"/>
      <w:r>
        <w:rPr>
          <w:rFonts w:cstheme="minorHAnsi"/>
          <w:color w:val="000000"/>
          <w:sz w:val="22"/>
          <w:szCs w:val="22"/>
        </w:rPr>
        <w:t xml:space="preserve"> tendo em conta os resultados da analgesia pós-operatória</w:t>
      </w:r>
    </w:p>
    <w:p w:rsidR="0074069E" w:rsidRDefault="0074069E" w:rsidP="00E23B48">
      <w:pPr>
        <w:autoSpaceDE w:val="0"/>
        <w:autoSpaceDN w:val="0"/>
        <w:adjustRightInd w:val="0"/>
        <w:spacing w:after="240"/>
        <w:rPr>
          <w:rFonts w:cstheme="minorHAnsi"/>
          <w:color w:val="000000"/>
          <w:sz w:val="22"/>
          <w:szCs w:val="22"/>
        </w:rPr>
      </w:pPr>
    </w:p>
    <w:p w:rsidR="0074069E" w:rsidRDefault="0074069E" w:rsidP="00E23B48">
      <w:pPr>
        <w:autoSpaceDE w:val="0"/>
        <w:autoSpaceDN w:val="0"/>
        <w:adjustRightInd w:val="0"/>
        <w:spacing w:after="240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Não recomendado para cesariana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74069E" w:rsidTr="00C85E29">
        <w:tc>
          <w:tcPr>
            <w:tcW w:w="2689" w:type="dxa"/>
          </w:tcPr>
          <w:p w:rsidR="0074069E" w:rsidRPr="0074069E" w:rsidRDefault="0074069E" w:rsidP="00E23B48">
            <w:pPr>
              <w:autoSpaceDE w:val="0"/>
              <w:autoSpaceDN w:val="0"/>
              <w:adjustRightInd w:val="0"/>
              <w:spacing w:after="240"/>
              <w:rPr>
                <w:rFonts w:cstheme="minorHAns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cstheme="minorHAnsi"/>
                <w:b/>
                <w:color w:val="000000"/>
                <w:sz w:val="22"/>
                <w:szCs w:val="22"/>
              </w:rPr>
              <w:t>Dexametasona</w:t>
            </w:r>
            <w:proofErr w:type="spellEnd"/>
          </w:p>
        </w:tc>
        <w:tc>
          <w:tcPr>
            <w:tcW w:w="6139" w:type="dxa"/>
          </w:tcPr>
          <w:p w:rsidR="0074069E" w:rsidRDefault="00425ACF" w:rsidP="00E23B48">
            <w:pPr>
              <w:autoSpaceDE w:val="0"/>
              <w:autoSpaceDN w:val="0"/>
              <w:adjustRightInd w:val="0"/>
              <w:spacing w:after="240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cstheme="minorHAnsi"/>
                <w:color w:val="000000"/>
                <w:sz w:val="22"/>
                <w:szCs w:val="22"/>
              </w:rPr>
              <w:t>dexametasona</w:t>
            </w:r>
            <w:proofErr w:type="spellEnd"/>
            <w:r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="003F4C1B">
              <w:rPr>
                <w:rFonts w:cstheme="minorHAnsi"/>
                <w:color w:val="000000"/>
                <w:sz w:val="22"/>
                <w:szCs w:val="22"/>
              </w:rPr>
              <w:t>pré-operatória não pode ser recomendada neste momento (</w:t>
            </w:r>
            <w:proofErr w:type="spellStart"/>
            <w:r w:rsidR="003F4C1B">
              <w:rPr>
                <w:rFonts w:cstheme="minorHAnsi"/>
                <w:color w:val="000000"/>
                <w:sz w:val="22"/>
                <w:szCs w:val="22"/>
              </w:rPr>
              <w:t>GoR</w:t>
            </w:r>
            <w:proofErr w:type="spellEnd"/>
            <w:r w:rsidR="003F4C1B">
              <w:rPr>
                <w:rFonts w:cstheme="minorHAnsi"/>
                <w:color w:val="000000"/>
                <w:sz w:val="22"/>
                <w:szCs w:val="22"/>
              </w:rPr>
              <w:t xml:space="preserve"> D) com base em limitada evidência procedimento-especifica</w:t>
            </w:r>
          </w:p>
        </w:tc>
      </w:tr>
      <w:tr w:rsidR="0074069E" w:rsidTr="00C85E29">
        <w:tc>
          <w:tcPr>
            <w:tcW w:w="2689" w:type="dxa"/>
          </w:tcPr>
          <w:p w:rsidR="0074069E" w:rsidRPr="0074069E" w:rsidRDefault="0074069E" w:rsidP="00E23B48">
            <w:pPr>
              <w:autoSpaceDE w:val="0"/>
              <w:autoSpaceDN w:val="0"/>
              <w:adjustRightInd w:val="0"/>
              <w:spacing w:after="240"/>
              <w:rPr>
                <w:rFonts w:cstheme="minorHAns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cstheme="minorHAnsi"/>
                <w:b/>
                <w:color w:val="000000"/>
                <w:sz w:val="22"/>
                <w:szCs w:val="22"/>
              </w:rPr>
              <w:t>Clonidina</w:t>
            </w:r>
            <w:proofErr w:type="spellEnd"/>
            <w:r>
              <w:rPr>
                <w:rFonts w:cs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0000"/>
                <w:sz w:val="22"/>
                <w:szCs w:val="22"/>
              </w:rPr>
              <w:t>neuroaxial</w:t>
            </w:r>
            <w:proofErr w:type="spellEnd"/>
          </w:p>
        </w:tc>
        <w:tc>
          <w:tcPr>
            <w:tcW w:w="6139" w:type="dxa"/>
          </w:tcPr>
          <w:p w:rsidR="0074069E" w:rsidRDefault="00837F9D" w:rsidP="00E23B48">
            <w:pPr>
              <w:autoSpaceDE w:val="0"/>
              <w:autoSpaceDN w:val="0"/>
              <w:adjustRightInd w:val="0"/>
              <w:spacing w:after="240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Devido aos seus efeitos secundários (p.e., hipotensão), a</w:t>
            </w:r>
            <w:r w:rsidR="003F4C1B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F4C1B">
              <w:rPr>
                <w:rFonts w:cstheme="minorHAnsi"/>
                <w:color w:val="000000"/>
                <w:sz w:val="22"/>
                <w:szCs w:val="22"/>
              </w:rPr>
              <w:t>clonidina</w:t>
            </w:r>
            <w:proofErr w:type="spellEnd"/>
            <w:r w:rsidR="003F4C1B">
              <w:rPr>
                <w:rFonts w:cstheme="minorHAnsi"/>
                <w:color w:val="000000"/>
                <w:sz w:val="22"/>
                <w:szCs w:val="22"/>
              </w:rPr>
              <w:t xml:space="preserve"> por via </w:t>
            </w:r>
            <w:proofErr w:type="spellStart"/>
            <w:r w:rsidR="003F4C1B">
              <w:rPr>
                <w:rFonts w:cstheme="minorHAnsi"/>
                <w:color w:val="000000"/>
                <w:sz w:val="22"/>
                <w:szCs w:val="22"/>
              </w:rPr>
              <w:t>neuroaxial</w:t>
            </w:r>
            <w:proofErr w:type="spellEnd"/>
            <w:r w:rsidR="003F4C1B">
              <w:rPr>
                <w:rFonts w:cstheme="minorHAnsi"/>
                <w:color w:val="000000"/>
                <w:sz w:val="22"/>
                <w:szCs w:val="22"/>
              </w:rPr>
              <w:t xml:space="preserve"> não é recomendada (</w:t>
            </w:r>
            <w:proofErr w:type="spellStart"/>
            <w:r w:rsidR="003F4C1B">
              <w:rPr>
                <w:rFonts w:cstheme="minorHAnsi"/>
                <w:color w:val="000000"/>
                <w:sz w:val="22"/>
                <w:szCs w:val="22"/>
              </w:rPr>
              <w:t>GoR</w:t>
            </w:r>
            <w:proofErr w:type="spellEnd"/>
            <w:r w:rsidR="003F4C1B">
              <w:rPr>
                <w:rFonts w:cstheme="minorHAnsi"/>
                <w:color w:val="000000"/>
                <w:sz w:val="22"/>
                <w:szCs w:val="22"/>
              </w:rPr>
              <w:t xml:space="preserve"> D)</w:t>
            </w:r>
            <w:r w:rsidR="007F543A">
              <w:rPr>
                <w:rFonts w:cstheme="minorHAnsi"/>
                <w:color w:val="000000"/>
                <w:sz w:val="22"/>
                <w:szCs w:val="22"/>
              </w:rPr>
              <w:t xml:space="preserve"> apesar da evidência procedimento-especifica sugerir a sua superior analgesia</w:t>
            </w:r>
          </w:p>
        </w:tc>
      </w:tr>
      <w:tr w:rsidR="0074069E" w:rsidTr="00C85E29">
        <w:tc>
          <w:tcPr>
            <w:tcW w:w="2689" w:type="dxa"/>
          </w:tcPr>
          <w:p w:rsidR="0074069E" w:rsidRPr="0074069E" w:rsidRDefault="0074069E" w:rsidP="00E23B48">
            <w:pPr>
              <w:autoSpaceDE w:val="0"/>
              <w:autoSpaceDN w:val="0"/>
              <w:adjustRightInd w:val="0"/>
              <w:spacing w:after="240"/>
              <w:rPr>
                <w:rFonts w:cstheme="minorHAnsi"/>
                <w:b/>
                <w:color w:val="000000"/>
                <w:sz w:val="22"/>
                <w:szCs w:val="22"/>
              </w:rPr>
            </w:pPr>
            <w:r>
              <w:rPr>
                <w:rFonts w:cstheme="minorHAnsi"/>
                <w:b/>
                <w:color w:val="000000"/>
                <w:sz w:val="22"/>
                <w:szCs w:val="22"/>
              </w:rPr>
              <w:t>Cetamina</w:t>
            </w:r>
          </w:p>
        </w:tc>
        <w:tc>
          <w:tcPr>
            <w:tcW w:w="6139" w:type="dxa"/>
          </w:tcPr>
          <w:p w:rsidR="0074069E" w:rsidRDefault="007F543A" w:rsidP="00E23B48">
            <w:pPr>
              <w:autoSpaceDE w:val="0"/>
              <w:autoSpaceDN w:val="0"/>
              <w:adjustRightInd w:val="0"/>
              <w:spacing w:after="240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A cetamina não pode ser recomendada (</w:t>
            </w:r>
            <w:proofErr w:type="spellStart"/>
            <w:r>
              <w:rPr>
                <w:rFonts w:cstheme="minorHAnsi"/>
                <w:color w:val="000000"/>
                <w:sz w:val="22"/>
                <w:szCs w:val="22"/>
              </w:rPr>
              <w:t>GoR</w:t>
            </w:r>
            <w:proofErr w:type="spellEnd"/>
            <w:r>
              <w:rPr>
                <w:rFonts w:cstheme="minorHAnsi"/>
                <w:color w:val="000000"/>
                <w:sz w:val="22"/>
                <w:szCs w:val="22"/>
              </w:rPr>
              <w:t xml:space="preserve"> D) atualmente devido a evidência procedimento-especifica inconsistente</w:t>
            </w:r>
          </w:p>
        </w:tc>
      </w:tr>
      <w:tr w:rsidR="0074069E" w:rsidTr="00C85E29">
        <w:tc>
          <w:tcPr>
            <w:tcW w:w="2689" w:type="dxa"/>
          </w:tcPr>
          <w:p w:rsidR="0074069E" w:rsidRPr="0074069E" w:rsidRDefault="0074069E" w:rsidP="00E23B48">
            <w:pPr>
              <w:autoSpaceDE w:val="0"/>
              <w:autoSpaceDN w:val="0"/>
              <w:adjustRightInd w:val="0"/>
              <w:spacing w:after="240"/>
              <w:rPr>
                <w:rFonts w:cstheme="minorHAnsi"/>
                <w:b/>
                <w:color w:val="000000"/>
                <w:sz w:val="22"/>
                <w:szCs w:val="22"/>
              </w:rPr>
            </w:pPr>
            <w:r>
              <w:rPr>
                <w:rFonts w:cstheme="minorHAnsi"/>
                <w:b/>
                <w:color w:val="000000"/>
                <w:sz w:val="22"/>
                <w:szCs w:val="22"/>
              </w:rPr>
              <w:t>TENS</w:t>
            </w:r>
          </w:p>
        </w:tc>
        <w:tc>
          <w:tcPr>
            <w:tcW w:w="6139" w:type="dxa"/>
          </w:tcPr>
          <w:p w:rsidR="0074069E" w:rsidRPr="007F543A" w:rsidRDefault="005C4B89" w:rsidP="00E23B48">
            <w:pPr>
              <w:autoSpaceDE w:val="0"/>
              <w:autoSpaceDN w:val="0"/>
              <w:adjustRightInd w:val="0"/>
              <w:spacing w:after="240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TENS não</w:t>
            </w:r>
            <w:bookmarkStart w:id="0" w:name="_GoBack"/>
            <w:bookmarkEnd w:id="0"/>
            <w:r w:rsidR="007F543A">
              <w:rPr>
                <w:rFonts w:cstheme="minorHAnsi"/>
                <w:color w:val="000000"/>
                <w:sz w:val="22"/>
                <w:szCs w:val="22"/>
              </w:rPr>
              <w:t xml:space="preserve"> é recomendado (</w:t>
            </w:r>
            <w:proofErr w:type="spellStart"/>
            <w:r w:rsidR="007F543A">
              <w:rPr>
                <w:rFonts w:cstheme="minorHAnsi"/>
                <w:color w:val="000000"/>
                <w:sz w:val="22"/>
                <w:szCs w:val="22"/>
              </w:rPr>
              <w:t>GoR</w:t>
            </w:r>
            <w:proofErr w:type="spellEnd"/>
            <w:r w:rsidR="007F543A">
              <w:rPr>
                <w:rFonts w:cstheme="minorHAnsi"/>
                <w:color w:val="000000"/>
                <w:sz w:val="22"/>
                <w:szCs w:val="22"/>
              </w:rPr>
              <w:t xml:space="preserve"> D) com base em limitada evidência procedimento-especifica</w:t>
            </w:r>
          </w:p>
        </w:tc>
      </w:tr>
    </w:tbl>
    <w:p w:rsidR="0074069E" w:rsidRDefault="0074069E" w:rsidP="00E23B48">
      <w:pPr>
        <w:autoSpaceDE w:val="0"/>
        <w:autoSpaceDN w:val="0"/>
        <w:adjustRightInd w:val="0"/>
        <w:spacing w:after="240"/>
        <w:rPr>
          <w:rFonts w:cstheme="minorHAnsi"/>
          <w:color w:val="000000"/>
          <w:sz w:val="22"/>
          <w:szCs w:val="22"/>
        </w:rPr>
      </w:pPr>
    </w:p>
    <w:p w:rsidR="0074069E" w:rsidRPr="008C14D8" w:rsidRDefault="0074069E" w:rsidP="00E23B48">
      <w:pPr>
        <w:autoSpaceDE w:val="0"/>
        <w:autoSpaceDN w:val="0"/>
        <w:adjustRightInd w:val="0"/>
        <w:spacing w:after="240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 xml:space="preserve"> </w:t>
      </w:r>
    </w:p>
    <w:p w:rsidR="0091166A" w:rsidRPr="008C14D8" w:rsidRDefault="0091166A" w:rsidP="00E23B48">
      <w:pPr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:rsidR="00F60FFC" w:rsidRPr="008C14D8" w:rsidRDefault="00F60FFC" w:rsidP="00E23B48"/>
    <w:sectPr w:rsidR="00F60FFC" w:rsidRPr="008C14D8" w:rsidSect="0091166A">
      <w:type w:val="continuous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41551"/>
    <w:multiLevelType w:val="hybridMultilevel"/>
    <w:tmpl w:val="D074A78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2045E"/>
    <w:multiLevelType w:val="hybridMultilevel"/>
    <w:tmpl w:val="78EC946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91F"/>
    <w:rsid w:val="000405CF"/>
    <w:rsid w:val="000409AE"/>
    <w:rsid w:val="00046074"/>
    <w:rsid w:val="0006783E"/>
    <w:rsid w:val="0011548A"/>
    <w:rsid w:val="00140D35"/>
    <w:rsid w:val="00212487"/>
    <w:rsid w:val="00221BE4"/>
    <w:rsid w:val="002432FA"/>
    <w:rsid w:val="00246C84"/>
    <w:rsid w:val="00305984"/>
    <w:rsid w:val="003602CD"/>
    <w:rsid w:val="0037232A"/>
    <w:rsid w:val="00376697"/>
    <w:rsid w:val="003C2BEA"/>
    <w:rsid w:val="003C48C5"/>
    <w:rsid w:val="003F3848"/>
    <w:rsid w:val="003F4C1B"/>
    <w:rsid w:val="00425ACF"/>
    <w:rsid w:val="0042682E"/>
    <w:rsid w:val="00445F2B"/>
    <w:rsid w:val="00464E05"/>
    <w:rsid w:val="00507AFE"/>
    <w:rsid w:val="00513275"/>
    <w:rsid w:val="005200C1"/>
    <w:rsid w:val="00526FD6"/>
    <w:rsid w:val="00560C34"/>
    <w:rsid w:val="00561F6A"/>
    <w:rsid w:val="0058203D"/>
    <w:rsid w:val="00592E3A"/>
    <w:rsid w:val="005B6C8C"/>
    <w:rsid w:val="005C4B89"/>
    <w:rsid w:val="00625B31"/>
    <w:rsid w:val="00653210"/>
    <w:rsid w:val="006C5BC7"/>
    <w:rsid w:val="007353D1"/>
    <w:rsid w:val="0074069E"/>
    <w:rsid w:val="007A4DC8"/>
    <w:rsid w:val="007B3917"/>
    <w:rsid w:val="007C6383"/>
    <w:rsid w:val="007C6EB9"/>
    <w:rsid w:val="007F543A"/>
    <w:rsid w:val="0080091F"/>
    <w:rsid w:val="00827E0E"/>
    <w:rsid w:val="00837F9D"/>
    <w:rsid w:val="008C14D8"/>
    <w:rsid w:val="008C55D7"/>
    <w:rsid w:val="008C5C75"/>
    <w:rsid w:val="008C6717"/>
    <w:rsid w:val="008D4EF1"/>
    <w:rsid w:val="0091166A"/>
    <w:rsid w:val="009155EF"/>
    <w:rsid w:val="00946FE4"/>
    <w:rsid w:val="009D3F71"/>
    <w:rsid w:val="00A0025A"/>
    <w:rsid w:val="00A007C8"/>
    <w:rsid w:val="00A073E3"/>
    <w:rsid w:val="00A139EC"/>
    <w:rsid w:val="00A4680D"/>
    <w:rsid w:val="00A93B70"/>
    <w:rsid w:val="00AE1DF0"/>
    <w:rsid w:val="00B14C94"/>
    <w:rsid w:val="00B25727"/>
    <w:rsid w:val="00B33FB3"/>
    <w:rsid w:val="00BA7541"/>
    <w:rsid w:val="00BC4998"/>
    <w:rsid w:val="00C2604B"/>
    <w:rsid w:val="00C509ED"/>
    <w:rsid w:val="00C85E29"/>
    <w:rsid w:val="00CF67CF"/>
    <w:rsid w:val="00D1629D"/>
    <w:rsid w:val="00D53A15"/>
    <w:rsid w:val="00D6463C"/>
    <w:rsid w:val="00D80273"/>
    <w:rsid w:val="00DD3727"/>
    <w:rsid w:val="00DD54B8"/>
    <w:rsid w:val="00DE1296"/>
    <w:rsid w:val="00DE3383"/>
    <w:rsid w:val="00E23B48"/>
    <w:rsid w:val="00E3445B"/>
    <w:rsid w:val="00E473D1"/>
    <w:rsid w:val="00E57045"/>
    <w:rsid w:val="00E90D67"/>
    <w:rsid w:val="00E90FA4"/>
    <w:rsid w:val="00EA0E17"/>
    <w:rsid w:val="00F312D7"/>
    <w:rsid w:val="00F3340A"/>
    <w:rsid w:val="00F60FFC"/>
    <w:rsid w:val="00F965EF"/>
    <w:rsid w:val="00FA43DC"/>
    <w:rsid w:val="00FC0092"/>
    <w:rsid w:val="00FC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0A6E4"/>
  <w15:chartTrackingRefBased/>
  <w15:docId w15:val="{46130D9A-259A-184C-BEFA-B5B55F6D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915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23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5</Pages>
  <Words>1337</Words>
  <Characters>7220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Lobo</dc:creator>
  <cp:keywords/>
  <dc:description/>
  <cp:lastModifiedBy>Clara Lobo</cp:lastModifiedBy>
  <cp:revision>17</cp:revision>
  <dcterms:created xsi:type="dcterms:W3CDTF">2018-04-05T07:08:00Z</dcterms:created>
  <dcterms:modified xsi:type="dcterms:W3CDTF">2018-04-08T20:17:00Z</dcterms:modified>
</cp:coreProperties>
</file>