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28C" w:rsidRPr="004827ED" w:rsidRDefault="000E728C" w:rsidP="004827ED">
      <w:pPr>
        <w:spacing w:line="240" w:lineRule="auto"/>
        <w:rPr>
          <w:b/>
        </w:rPr>
      </w:pPr>
      <w:bookmarkStart w:id="0" w:name="_GoBack"/>
      <w:r w:rsidRPr="004827ED">
        <w:rPr>
          <w:b/>
        </w:rPr>
        <w:t>Anmerkungen zu den von PROSPECT ausgesprochenen Empfehlungen</w:t>
      </w:r>
    </w:p>
    <w:p w:rsidR="000E728C" w:rsidRDefault="000E728C" w:rsidP="004827ED">
      <w:pPr>
        <w:spacing w:line="240" w:lineRule="auto"/>
      </w:pPr>
      <w:r>
        <w:t>Gestützt auf veröffentlichte Evidenz und Sachverständigengutachten versieht PROSPECT Klinikärzte mit Argumentationshilfen für oder wider die Anwendung von Maßnahmen verschiedener Art gegen postoperativ auftretenden Schmerz. Klinikärzte sind gehalten, sich ihr Urteil auf Grundlage der konkreten klinischen Umstände und lokalen Bestimmungen zu bilden. Stets sind die lokalen Informationen zur Verschreibung zu konsultieren. Die Zuweisung der Empfehlungsgrade (</w:t>
      </w:r>
      <w:r>
        <w:rPr>
          <w:i/>
          <w:iCs/>
        </w:rPr>
        <w:t>Grades of recommendation</w:t>
      </w:r>
      <w:r>
        <w:t>, GoR) erfolgt entsprechend der Gesamt-Evidenzstufe (</w:t>
      </w:r>
      <w:r>
        <w:rPr>
          <w:i/>
          <w:iCs/>
        </w:rPr>
        <w:t>Level of evidence</w:t>
      </w:r>
      <w:r>
        <w:t>, LoE), auf der die Empfehlungen beruhen und die durch die Qualität und Quelle der Evidenz bestimmt wird.</w:t>
      </w:r>
    </w:p>
    <w:p w:rsidR="000E728C" w:rsidRDefault="000E728C" w:rsidP="004827ED">
      <w:pPr>
        <w:spacing w:line="240" w:lineRule="auto"/>
        <w:rPr>
          <w:b/>
          <w:bCs/>
        </w:rPr>
      </w:pPr>
    </w:p>
    <w:p w:rsidR="000E728C" w:rsidRDefault="000E728C" w:rsidP="004827ED">
      <w:pPr>
        <w:spacing w:line="240" w:lineRule="auto"/>
      </w:pPr>
      <w:r>
        <w:rPr>
          <w:b/>
          <w:bCs/>
        </w:rPr>
        <w:t>Empfehlungsgrade (GoR) nach Quelle und Evidenzstufe (LoE): Übersichtstabelle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9"/>
        <w:gridCol w:w="475"/>
        <w:gridCol w:w="4093"/>
        <w:gridCol w:w="1131"/>
      </w:tblGrid>
      <w:tr w:rsidR="000E728C" w:rsidRPr="00F83FE2" w:rsidTr="00F83FE2">
        <w:tc>
          <w:tcPr>
            <w:tcW w:w="0" w:type="auto"/>
            <w:vMerge w:val="restart"/>
            <w:vAlign w:val="center"/>
          </w:tcPr>
          <w:p w:rsidR="000E728C" w:rsidRPr="00F83FE2" w:rsidRDefault="000E728C" w:rsidP="00F83FE2">
            <w:pPr>
              <w:spacing w:after="0" w:line="240" w:lineRule="auto"/>
              <w:jc w:val="center"/>
              <w:rPr>
                <w:sz w:val="18"/>
                <w:szCs w:val="18"/>
                <w:lang w:val="de-CH"/>
              </w:rPr>
            </w:pPr>
            <w:r w:rsidRPr="00F83FE2">
              <w:rPr>
                <w:sz w:val="18"/>
                <w:szCs w:val="18"/>
                <w:lang w:val="de-CH"/>
              </w:rPr>
              <w:t>Studientyp</w:t>
            </w:r>
          </w:p>
        </w:tc>
        <w:tc>
          <w:tcPr>
            <w:tcW w:w="0" w:type="auto"/>
            <w:vMerge w:val="restart"/>
            <w:vAlign w:val="center"/>
          </w:tcPr>
          <w:p w:rsidR="000E728C" w:rsidRPr="00F83FE2" w:rsidRDefault="000E728C" w:rsidP="00F83FE2">
            <w:pPr>
              <w:spacing w:after="0" w:line="240" w:lineRule="auto"/>
              <w:jc w:val="center"/>
              <w:rPr>
                <w:sz w:val="18"/>
                <w:szCs w:val="18"/>
                <w:lang w:val="de-CH"/>
              </w:rPr>
            </w:pPr>
            <w:r w:rsidRPr="00F83FE2">
              <w:rPr>
                <w:sz w:val="18"/>
                <w:szCs w:val="18"/>
                <w:lang w:val="de-CH"/>
              </w:rPr>
              <w:t>LoE</w:t>
            </w:r>
          </w:p>
        </w:tc>
        <w:tc>
          <w:tcPr>
            <w:tcW w:w="0" w:type="auto"/>
            <w:gridSpan w:val="2"/>
            <w:vAlign w:val="center"/>
          </w:tcPr>
          <w:p w:rsidR="000E728C" w:rsidRPr="00F83FE2" w:rsidRDefault="000E728C" w:rsidP="00F83FE2">
            <w:pPr>
              <w:spacing w:after="0" w:line="240" w:lineRule="auto"/>
              <w:jc w:val="center"/>
              <w:rPr>
                <w:sz w:val="18"/>
                <w:szCs w:val="18"/>
                <w:lang w:val="de-CH"/>
              </w:rPr>
            </w:pPr>
            <w:r w:rsidRPr="00F83FE2">
              <w:rPr>
                <w:sz w:val="18"/>
                <w:szCs w:val="18"/>
                <w:lang w:val="de-CH"/>
              </w:rPr>
              <w:t>GoR</w:t>
            </w:r>
            <w:r w:rsidRPr="00F83FE2">
              <w:rPr>
                <w:sz w:val="18"/>
                <w:szCs w:val="18"/>
                <w:lang w:val="de-CH"/>
              </w:rPr>
              <w:br/>
              <w:t>(auf Grundlage de</w:t>
            </w:r>
            <w:r>
              <w:rPr>
                <w:sz w:val="18"/>
                <w:szCs w:val="18"/>
                <w:lang w:val="de-CH"/>
              </w:rPr>
              <w:t>r</w:t>
            </w:r>
            <w:r w:rsidRPr="00F83FE2">
              <w:rPr>
                <w:sz w:val="18"/>
                <w:szCs w:val="18"/>
                <w:lang w:val="de-CH"/>
              </w:rPr>
              <w:t xml:space="preserve"> Gesamt-LoE, unter Berücksichtigung des Gleichgewichts zwischen den Angaben und der Evidenz zur klinischen Praxis</w:t>
            </w:r>
          </w:p>
        </w:tc>
      </w:tr>
      <w:tr w:rsidR="000E728C" w:rsidRPr="00F83FE2" w:rsidTr="00F83FE2">
        <w:tc>
          <w:tcPr>
            <w:tcW w:w="0" w:type="auto"/>
            <w:vMerge/>
            <w:vAlign w:val="center"/>
          </w:tcPr>
          <w:p w:rsidR="000E728C" w:rsidRPr="00F83FE2" w:rsidRDefault="000E728C" w:rsidP="00F83FE2">
            <w:pPr>
              <w:spacing w:after="0" w:line="240" w:lineRule="auto"/>
              <w:jc w:val="center"/>
              <w:rPr>
                <w:sz w:val="18"/>
                <w:szCs w:val="18"/>
                <w:lang w:val="de-CH"/>
              </w:rPr>
            </w:pPr>
          </w:p>
        </w:tc>
        <w:tc>
          <w:tcPr>
            <w:tcW w:w="0" w:type="auto"/>
            <w:vMerge/>
            <w:vAlign w:val="center"/>
          </w:tcPr>
          <w:p w:rsidR="000E728C" w:rsidRPr="00F83FE2" w:rsidRDefault="000E728C" w:rsidP="00F83FE2">
            <w:pPr>
              <w:spacing w:after="0" w:line="240" w:lineRule="auto"/>
              <w:jc w:val="center"/>
              <w:rPr>
                <w:sz w:val="18"/>
                <w:szCs w:val="18"/>
                <w:lang w:val="de-CH"/>
              </w:rPr>
            </w:pPr>
          </w:p>
        </w:tc>
        <w:tc>
          <w:tcPr>
            <w:tcW w:w="0" w:type="auto"/>
            <w:vAlign w:val="center"/>
          </w:tcPr>
          <w:p w:rsidR="000E728C" w:rsidRPr="00F83FE2" w:rsidRDefault="000E728C" w:rsidP="00F83FE2">
            <w:pPr>
              <w:spacing w:after="0" w:line="240" w:lineRule="auto"/>
              <w:jc w:val="center"/>
              <w:rPr>
                <w:sz w:val="18"/>
                <w:szCs w:val="18"/>
                <w:lang w:val="de-CH"/>
              </w:rPr>
            </w:pPr>
            <w:r w:rsidRPr="00F83FE2">
              <w:rPr>
                <w:sz w:val="18"/>
                <w:szCs w:val="18"/>
                <w:lang w:val="de-CH"/>
              </w:rPr>
              <w:t>Verfahrensspezifisch</w:t>
            </w:r>
          </w:p>
        </w:tc>
        <w:tc>
          <w:tcPr>
            <w:tcW w:w="0" w:type="auto"/>
            <w:vAlign w:val="center"/>
          </w:tcPr>
          <w:p w:rsidR="000E728C" w:rsidRPr="00F83FE2" w:rsidRDefault="000E728C" w:rsidP="00F83FE2">
            <w:pPr>
              <w:spacing w:after="0" w:line="240" w:lineRule="auto"/>
              <w:jc w:val="center"/>
              <w:rPr>
                <w:sz w:val="18"/>
                <w:szCs w:val="18"/>
                <w:lang w:val="de-CH"/>
              </w:rPr>
            </w:pPr>
            <w:r w:rsidRPr="00F83FE2">
              <w:rPr>
                <w:sz w:val="18"/>
                <w:szCs w:val="18"/>
                <w:lang w:val="de-CH"/>
              </w:rPr>
              <w:t>Übertragbar</w:t>
            </w:r>
          </w:p>
        </w:tc>
      </w:tr>
      <w:tr w:rsidR="000E728C" w:rsidRPr="00F83FE2" w:rsidTr="00F83FE2">
        <w:tc>
          <w:tcPr>
            <w:tcW w:w="0" w:type="auto"/>
            <w:vAlign w:val="center"/>
          </w:tcPr>
          <w:p w:rsidR="000E728C" w:rsidRPr="00F83FE2" w:rsidRDefault="000E728C" w:rsidP="00F83FE2">
            <w:pPr>
              <w:spacing w:after="0" w:line="240" w:lineRule="auto"/>
              <w:jc w:val="center"/>
              <w:rPr>
                <w:sz w:val="18"/>
                <w:szCs w:val="18"/>
                <w:lang w:val="de-CH"/>
              </w:rPr>
            </w:pPr>
            <w:r w:rsidRPr="00F83FE2">
              <w:rPr>
                <w:sz w:val="18"/>
                <w:szCs w:val="18"/>
                <w:lang w:val="de-CH"/>
              </w:rPr>
              <w:t>Systematische Überprüfung mit homogenen Ergebnissen</w:t>
            </w:r>
          </w:p>
        </w:tc>
        <w:tc>
          <w:tcPr>
            <w:tcW w:w="0" w:type="auto"/>
            <w:vAlign w:val="center"/>
          </w:tcPr>
          <w:p w:rsidR="000E728C" w:rsidRPr="00F83FE2" w:rsidRDefault="000E728C" w:rsidP="00F83FE2">
            <w:pPr>
              <w:spacing w:after="0" w:line="240" w:lineRule="auto"/>
              <w:jc w:val="center"/>
              <w:rPr>
                <w:sz w:val="18"/>
                <w:szCs w:val="18"/>
                <w:lang w:val="de-CH"/>
              </w:rPr>
            </w:pPr>
            <w:r w:rsidRPr="00F83FE2">
              <w:rPr>
                <w:sz w:val="18"/>
                <w:szCs w:val="18"/>
                <w:lang w:val="de-CH"/>
              </w:rPr>
              <w:t>1</w:t>
            </w:r>
          </w:p>
        </w:tc>
        <w:tc>
          <w:tcPr>
            <w:tcW w:w="0" w:type="auto"/>
            <w:vAlign w:val="center"/>
          </w:tcPr>
          <w:p w:rsidR="000E728C" w:rsidRPr="00F83FE2" w:rsidRDefault="000E728C" w:rsidP="00F83FE2">
            <w:pPr>
              <w:spacing w:after="0" w:line="240" w:lineRule="auto"/>
              <w:jc w:val="center"/>
              <w:rPr>
                <w:sz w:val="18"/>
                <w:szCs w:val="18"/>
                <w:lang w:val="de-CH"/>
              </w:rPr>
            </w:pPr>
            <w:r w:rsidRPr="00F83FE2">
              <w:rPr>
                <w:sz w:val="18"/>
                <w:szCs w:val="18"/>
                <w:lang w:val="de-CH"/>
              </w:rPr>
              <w:t>A</w:t>
            </w:r>
          </w:p>
        </w:tc>
        <w:tc>
          <w:tcPr>
            <w:tcW w:w="0" w:type="auto"/>
            <w:vAlign w:val="center"/>
          </w:tcPr>
          <w:p w:rsidR="000E728C" w:rsidRPr="00F83FE2" w:rsidRDefault="000E728C" w:rsidP="00F83FE2">
            <w:pPr>
              <w:spacing w:after="0" w:line="240" w:lineRule="auto"/>
              <w:jc w:val="center"/>
              <w:rPr>
                <w:sz w:val="18"/>
                <w:szCs w:val="18"/>
                <w:lang w:val="de-CH"/>
              </w:rPr>
            </w:pPr>
            <w:r w:rsidRPr="00F83FE2">
              <w:rPr>
                <w:sz w:val="18"/>
                <w:szCs w:val="18"/>
                <w:lang w:val="de-CH"/>
              </w:rPr>
              <w:t>B</w:t>
            </w:r>
          </w:p>
        </w:tc>
      </w:tr>
      <w:tr w:rsidR="000E728C" w:rsidRPr="00F83FE2" w:rsidTr="00F83FE2">
        <w:tc>
          <w:tcPr>
            <w:tcW w:w="0" w:type="auto"/>
            <w:vAlign w:val="center"/>
          </w:tcPr>
          <w:p w:rsidR="000E728C" w:rsidRPr="00F83FE2" w:rsidRDefault="000E728C" w:rsidP="00F83FE2">
            <w:pPr>
              <w:spacing w:after="0" w:line="240" w:lineRule="auto"/>
              <w:jc w:val="center"/>
              <w:rPr>
                <w:sz w:val="18"/>
                <w:szCs w:val="18"/>
                <w:lang w:val="de-CH"/>
              </w:rPr>
            </w:pPr>
            <w:r w:rsidRPr="00F83FE2">
              <w:rPr>
                <w:sz w:val="18"/>
                <w:szCs w:val="18"/>
                <w:lang w:val="de-CH"/>
              </w:rPr>
              <w:t>Randomisierte kontrollierte Studie (RCT) von hoher Qualität</w:t>
            </w:r>
          </w:p>
        </w:tc>
        <w:tc>
          <w:tcPr>
            <w:tcW w:w="0" w:type="auto"/>
            <w:vAlign w:val="center"/>
          </w:tcPr>
          <w:p w:rsidR="000E728C" w:rsidRPr="00F83FE2" w:rsidRDefault="000E728C" w:rsidP="00F83FE2">
            <w:pPr>
              <w:spacing w:after="0" w:line="240" w:lineRule="auto"/>
              <w:jc w:val="center"/>
              <w:rPr>
                <w:sz w:val="18"/>
                <w:szCs w:val="18"/>
                <w:lang w:val="de-CH"/>
              </w:rPr>
            </w:pPr>
            <w:r w:rsidRPr="00F83FE2">
              <w:rPr>
                <w:sz w:val="18"/>
                <w:szCs w:val="18"/>
                <w:lang w:val="de-CH"/>
              </w:rPr>
              <w:t>1</w:t>
            </w:r>
          </w:p>
        </w:tc>
        <w:tc>
          <w:tcPr>
            <w:tcW w:w="0" w:type="auto"/>
            <w:vAlign w:val="center"/>
          </w:tcPr>
          <w:p w:rsidR="000E728C" w:rsidRPr="00F83FE2" w:rsidRDefault="000E728C" w:rsidP="00F83FE2">
            <w:pPr>
              <w:spacing w:after="0" w:line="240" w:lineRule="auto"/>
              <w:jc w:val="center"/>
              <w:rPr>
                <w:sz w:val="18"/>
                <w:szCs w:val="18"/>
                <w:lang w:val="de-CH"/>
              </w:rPr>
            </w:pPr>
            <w:r w:rsidRPr="00F83FE2">
              <w:rPr>
                <w:sz w:val="18"/>
                <w:szCs w:val="18"/>
                <w:lang w:val="de-CH"/>
              </w:rPr>
              <w:t>A</w:t>
            </w:r>
            <w:r w:rsidRPr="00F83FE2">
              <w:rPr>
                <w:sz w:val="18"/>
                <w:szCs w:val="18"/>
                <w:lang w:val="de-CH"/>
              </w:rPr>
              <w:br/>
              <w:t>(auf Grundlage von mindestens zwei Studien oder einer einzelnen umfangreichen, durchdacht konzipierten Studie)</w:t>
            </w:r>
          </w:p>
        </w:tc>
        <w:tc>
          <w:tcPr>
            <w:tcW w:w="0" w:type="auto"/>
            <w:vAlign w:val="center"/>
          </w:tcPr>
          <w:p w:rsidR="000E728C" w:rsidRPr="00F83FE2" w:rsidRDefault="000E728C" w:rsidP="00F83FE2">
            <w:pPr>
              <w:spacing w:after="0" w:line="240" w:lineRule="auto"/>
              <w:jc w:val="center"/>
              <w:rPr>
                <w:sz w:val="18"/>
                <w:szCs w:val="18"/>
                <w:lang w:val="de-CH"/>
              </w:rPr>
            </w:pPr>
            <w:r w:rsidRPr="00F83FE2">
              <w:rPr>
                <w:sz w:val="18"/>
                <w:szCs w:val="18"/>
                <w:lang w:val="de-CH"/>
              </w:rPr>
              <w:t>B</w:t>
            </w:r>
          </w:p>
        </w:tc>
      </w:tr>
      <w:tr w:rsidR="000E728C" w:rsidRPr="00F83FE2" w:rsidTr="00F83FE2">
        <w:tc>
          <w:tcPr>
            <w:tcW w:w="0" w:type="auto"/>
            <w:vAlign w:val="center"/>
          </w:tcPr>
          <w:p w:rsidR="000E728C" w:rsidRPr="00F83FE2" w:rsidRDefault="000E728C" w:rsidP="00F83FE2">
            <w:pPr>
              <w:spacing w:after="0" w:line="240" w:lineRule="auto"/>
              <w:jc w:val="center"/>
              <w:rPr>
                <w:sz w:val="18"/>
                <w:szCs w:val="18"/>
                <w:lang w:val="de-CH"/>
              </w:rPr>
            </w:pPr>
            <w:r w:rsidRPr="00F83FE2">
              <w:rPr>
                <w:sz w:val="18"/>
                <w:szCs w:val="18"/>
                <w:lang w:val="de-CH"/>
              </w:rPr>
              <w:t>RCT – mit Begrenzungen hinsichtlich der Methodik oder der Berichterstattung</w:t>
            </w:r>
          </w:p>
        </w:tc>
        <w:tc>
          <w:tcPr>
            <w:tcW w:w="0" w:type="auto"/>
            <w:vAlign w:val="center"/>
          </w:tcPr>
          <w:p w:rsidR="000E728C" w:rsidRPr="00F83FE2" w:rsidRDefault="000E728C" w:rsidP="00F83FE2">
            <w:pPr>
              <w:spacing w:after="0" w:line="240" w:lineRule="auto"/>
              <w:jc w:val="center"/>
              <w:rPr>
                <w:sz w:val="18"/>
                <w:szCs w:val="18"/>
                <w:lang w:val="de-CH"/>
              </w:rPr>
            </w:pPr>
            <w:r w:rsidRPr="00F83FE2">
              <w:rPr>
                <w:sz w:val="18"/>
                <w:szCs w:val="18"/>
                <w:lang w:val="de-CH"/>
              </w:rPr>
              <w:t>2</w:t>
            </w:r>
          </w:p>
        </w:tc>
        <w:tc>
          <w:tcPr>
            <w:tcW w:w="0" w:type="auto"/>
            <w:vAlign w:val="center"/>
          </w:tcPr>
          <w:p w:rsidR="000E728C" w:rsidRPr="00F83FE2" w:rsidRDefault="000E728C" w:rsidP="00F83FE2">
            <w:pPr>
              <w:spacing w:after="0" w:line="240" w:lineRule="auto"/>
              <w:jc w:val="center"/>
              <w:rPr>
                <w:sz w:val="18"/>
                <w:szCs w:val="18"/>
                <w:lang w:val="de-CH"/>
              </w:rPr>
            </w:pPr>
            <w:r w:rsidRPr="00F83FE2">
              <w:rPr>
                <w:sz w:val="18"/>
                <w:szCs w:val="18"/>
                <w:lang w:val="de-CH"/>
              </w:rPr>
              <w:t>B</w:t>
            </w:r>
            <w:r w:rsidRPr="00F83FE2">
              <w:rPr>
                <w:sz w:val="18"/>
                <w:szCs w:val="18"/>
                <w:lang w:val="de-CH"/>
              </w:rPr>
              <w:br/>
              <w:t>(oder Extrapolation einer verfahrensspezifischen LoE-1-Studie)</w:t>
            </w:r>
          </w:p>
        </w:tc>
        <w:tc>
          <w:tcPr>
            <w:tcW w:w="0" w:type="auto"/>
            <w:vAlign w:val="center"/>
          </w:tcPr>
          <w:p w:rsidR="000E728C" w:rsidRPr="00F83FE2" w:rsidRDefault="000E728C" w:rsidP="00F83FE2">
            <w:pPr>
              <w:spacing w:after="0" w:line="240" w:lineRule="auto"/>
              <w:jc w:val="center"/>
              <w:rPr>
                <w:sz w:val="18"/>
                <w:szCs w:val="18"/>
                <w:lang w:val="de-CH"/>
              </w:rPr>
            </w:pPr>
            <w:r w:rsidRPr="00F83FE2">
              <w:rPr>
                <w:sz w:val="18"/>
                <w:szCs w:val="18"/>
                <w:lang w:val="de-CH"/>
              </w:rPr>
              <w:t>C</w:t>
            </w:r>
          </w:p>
        </w:tc>
      </w:tr>
      <w:tr w:rsidR="000E728C" w:rsidRPr="00F83FE2" w:rsidTr="00F83FE2">
        <w:tc>
          <w:tcPr>
            <w:tcW w:w="0" w:type="auto"/>
            <w:vAlign w:val="center"/>
          </w:tcPr>
          <w:p w:rsidR="000E728C" w:rsidRPr="00F83FE2" w:rsidRDefault="000E728C" w:rsidP="00F83FE2">
            <w:pPr>
              <w:spacing w:after="0" w:line="240" w:lineRule="auto"/>
              <w:jc w:val="center"/>
              <w:rPr>
                <w:sz w:val="18"/>
                <w:szCs w:val="18"/>
                <w:lang w:val="de-CH"/>
              </w:rPr>
            </w:pPr>
            <w:r w:rsidRPr="00F83FE2">
              <w:rPr>
                <w:sz w:val="18"/>
                <w:szCs w:val="18"/>
                <w:lang w:val="de-CH"/>
              </w:rPr>
              <w:t>Nichtsystematische Überprüfung, Kohortenstudie, Fallstudie;</w:t>
            </w:r>
            <w:r w:rsidRPr="00F83FE2">
              <w:rPr>
                <w:sz w:val="18"/>
                <w:szCs w:val="18"/>
                <w:lang w:val="de-CH"/>
              </w:rPr>
              <w:br/>
            </w:r>
            <w:r w:rsidRPr="00F83FE2">
              <w:rPr>
                <w:sz w:val="18"/>
                <w:szCs w:val="18"/>
                <w:lang w:val="de-CH"/>
              </w:rPr>
              <w:br/>
              <w:t>(z. B. gewisse Belege für negative Auswirkungen)</w:t>
            </w:r>
          </w:p>
        </w:tc>
        <w:tc>
          <w:tcPr>
            <w:tcW w:w="0" w:type="auto"/>
            <w:vAlign w:val="center"/>
          </w:tcPr>
          <w:p w:rsidR="000E728C" w:rsidRPr="00F83FE2" w:rsidRDefault="000E728C" w:rsidP="00F83FE2">
            <w:pPr>
              <w:spacing w:after="0" w:line="240" w:lineRule="auto"/>
              <w:jc w:val="center"/>
              <w:rPr>
                <w:sz w:val="18"/>
                <w:szCs w:val="18"/>
                <w:lang w:val="de-CH"/>
              </w:rPr>
            </w:pPr>
            <w:r w:rsidRPr="00F83FE2">
              <w:rPr>
                <w:sz w:val="18"/>
                <w:szCs w:val="18"/>
                <w:lang w:val="de-CH"/>
              </w:rPr>
              <w:t>3</w:t>
            </w:r>
          </w:p>
        </w:tc>
        <w:tc>
          <w:tcPr>
            <w:tcW w:w="0" w:type="auto"/>
            <w:gridSpan w:val="2"/>
            <w:vAlign w:val="center"/>
          </w:tcPr>
          <w:p w:rsidR="000E728C" w:rsidRPr="00F83FE2" w:rsidRDefault="000E728C" w:rsidP="00F83FE2">
            <w:pPr>
              <w:spacing w:after="0" w:line="240" w:lineRule="auto"/>
              <w:jc w:val="center"/>
              <w:rPr>
                <w:sz w:val="18"/>
                <w:szCs w:val="18"/>
                <w:lang w:val="de-CH"/>
              </w:rPr>
            </w:pPr>
            <w:r w:rsidRPr="00F83FE2">
              <w:rPr>
                <w:sz w:val="18"/>
                <w:szCs w:val="18"/>
                <w:lang w:val="de-CH"/>
              </w:rPr>
              <w:t>C</w:t>
            </w:r>
          </w:p>
        </w:tc>
      </w:tr>
      <w:tr w:rsidR="000E728C" w:rsidRPr="00F83FE2" w:rsidTr="00F83FE2">
        <w:tc>
          <w:tcPr>
            <w:tcW w:w="0" w:type="auto"/>
            <w:vAlign w:val="center"/>
          </w:tcPr>
          <w:p w:rsidR="000E728C" w:rsidRPr="00F83FE2" w:rsidRDefault="000E728C" w:rsidP="00F83FE2">
            <w:pPr>
              <w:spacing w:after="0" w:line="240" w:lineRule="auto"/>
              <w:jc w:val="center"/>
              <w:rPr>
                <w:sz w:val="18"/>
                <w:szCs w:val="18"/>
                <w:lang w:val="de-CH"/>
              </w:rPr>
            </w:pPr>
            <w:r w:rsidRPr="00F83FE2">
              <w:rPr>
                <w:sz w:val="18"/>
                <w:szCs w:val="18"/>
                <w:lang w:val="de-CH"/>
              </w:rPr>
              <w:t>Angaben zur klinischen Praxis (Sachverständigengutachten); inkonsistente Evidenz</w:t>
            </w:r>
          </w:p>
        </w:tc>
        <w:tc>
          <w:tcPr>
            <w:tcW w:w="0" w:type="auto"/>
            <w:vAlign w:val="center"/>
          </w:tcPr>
          <w:p w:rsidR="000E728C" w:rsidRPr="00F83FE2" w:rsidRDefault="000E728C" w:rsidP="00F83FE2">
            <w:pPr>
              <w:spacing w:after="0" w:line="240" w:lineRule="auto"/>
              <w:jc w:val="center"/>
              <w:rPr>
                <w:sz w:val="18"/>
                <w:szCs w:val="18"/>
                <w:lang w:val="de-CH"/>
              </w:rPr>
            </w:pPr>
            <w:r w:rsidRPr="00F83FE2">
              <w:rPr>
                <w:sz w:val="18"/>
                <w:szCs w:val="18"/>
                <w:lang w:val="de-CH"/>
              </w:rPr>
              <w:t>4</w:t>
            </w:r>
          </w:p>
        </w:tc>
        <w:tc>
          <w:tcPr>
            <w:tcW w:w="0" w:type="auto"/>
            <w:gridSpan w:val="2"/>
            <w:vAlign w:val="center"/>
          </w:tcPr>
          <w:p w:rsidR="000E728C" w:rsidRPr="00F83FE2" w:rsidRDefault="000E728C" w:rsidP="00F83FE2">
            <w:pPr>
              <w:spacing w:after="0" w:line="240" w:lineRule="auto"/>
              <w:jc w:val="center"/>
              <w:rPr>
                <w:sz w:val="18"/>
                <w:szCs w:val="18"/>
                <w:lang w:val="de-CH"/>
              </w:rPr>
            </w:pPr>
            <w:r w:rsidRPr="00F83FE2">
              <w:rPr>
                <w:sz w:val="18"/>
                <w:szCs w:val="18"/>
                <w:lang w:val="de-CH"/>
              </w:rPr>
              <w:t>D</w:t>
            </w:r>
          </w:p>
        </w:tc>
      </w:tr>
    </w:tbl>
    <w:p w:rsidR="000E728C" w:rsidRDefault="000E728C" w:rsidP="00E27362">
      <w:pPr>
        <w:spacing w:line="240" w:lineRule="auto"/>
      </w:pPr>
    </w:p>
    <w:p w:rsidR="000E728C" w:rsidRPr="00E27362" w:rsidRDefault="000E728C" w:rsidP="004827ED">
      <w:pPr>
        <w:spacing w:line="240" w:lineRule="auto"/>
      </w:pPr>
      <w:r>
        <w:t xml:space="preserve">Wie die Beurteilungen der Qualität von Studien zur Ermittlung von LoE und GoR durchgeführt werden, finden Sie unter dem Link </w:t>
      </w:r>
      <w:hyperlink r:id="rId5" w:history="1">
        <w:r>
          <w:rPr>
            <w:rStyle w:val="Hyperlink"/>
            <w:rFonts w:cs="Arial"/>
          </w:rPr>
          <w:t>Kaiserschnitt: Evidenzstufen und Empfehlungsgrade</w:t>
        </w:r>
      </w:hyperlink>
      <w:r>
        <w:t xml:space="preserve"> erläutert.</w:t>
      </w:r>
      <w:r>
        <w:br/>
      </w:r>
      <w:r>
        <w:br/>
        <w:t>Zur Beurteilung der methodischen Stringenz und der Transparenz von Leitlinien für die Praxis wird international das Instrument AGREE II (</w:t>
      </w:r>
      <w:hyperlink r:id="rId6" w:history="1">
        <w:r>
          <w:rPr>
            <w:rStyle w:val="Hyperlink"/>
            <w:rFonts w:cs="Arial"/>
          </w:rPr>
          <w:t>Brouwers 2010</w:t>
        </w:r>
      </w:hyperlink>
      <w:r>
        <w:t>) verwendet. Die Methodik der PROSPECT-Bewertung zum Kaiserschnitt erfüllt weitestmöglich die Anforderungen von „Domain 3: Rigour of development“ (Bereich 3: Stringenz der Entwicklung) des Instruments AGREE II:</w:t>
      </w:r>
    </w:p>
    <w:p w:rsidR="000E728C" w:rsidRPr="00E27362" w:rsidRDefault="000E728C" w:rsidP="00E27362">
      <w:pPr>
        <w:numPr>
          <w:ilvl w:val="0"/>
          <w:numId w:val="1"/>
        </w:numPr>
        <w:spacing w:line="240" w:lineRule="auto"/>
      </w:pPr>
      <w:r>
        <w:t>Bei der Evidenzsuche gelangten systematische Methoden zur Anwendung.</w:t>
      </w:r>
    </w:p>
    <w:p w:rsidR="000E728C" w:rsidRPr="00E27362" w:rsidRDefault="000E728C" w:rsidP="00E27362">
      <w:pPr>
        <w:numPr>
          <w:ilvl w:val="0"/>
          <w:numId w:val="1"/>
        </w:numPr>
        <w:spacing w:line="240" w:lineRule="auto"/>
      </w:pPr>
      <w:r>
        <w:t>Die Kriterien für die Auswahl der Evidenz sind unmissverständlich beschrieben.</w:t>
      </w:r>
    </w:p>
    <w:p w:rsidR="000E728C" w:rsidRPr="00E27362" w:rsidRDefault="000E728C" w:rsidP="00E27362">
      <w:pPr>
        <w:numPr>
          <w:ilvl w:val="0"/>
          <w:numId w:val="1"/>
        </w:numPr>
        <w:spacing w:line="240" w:lineRule="auto"/>
      </w:pPr>
      <w:r>
        <w:t>Die Stärken und Begrenzungen des Evidenzmaterials sind unmissverständlich beschrieben.</w:t>
      </w:r>
    </w:p>
    <w:p w:rsidR="000E728C" w:rsidRPr="00E27362" w:rsidRDefault="000E728C" w:rsidP="00E27362">
      <w:pPr>
        <w:numPr>
          <w:ilvl w:val="0"/>
          <w:numId w:val="1"/>
        </w:numPr>
        <w:spacing w:line="240" w:lineRule="auto"/>
      </w:pPr>
      <w:r>
        <w:t>Die zur Formulierung der Empfehlungen herangezogenen Methoden sind unmissverständlich beschrieben.</w:t>
      </w:r>
    </w:p>
    <w:p w:rsidR="000E728C" w:rsidRPr="00E27362" w:rsidRDefault="000E728C" w:rsidP="00E27362">
      <w:pPr>
        <w:numPr>
          <w:ilvl w:val="0"/>
          <w:numId w:val="1"/>
        </w:numPr>
        <w:spacing w:line="240" w:lineRule="auto"/>
      </w:pPr>
      <w:r>
        <w:t>Der gesundheitliche Nutzen, Nebenwirkungen und Risiken sind bei der Formulierung der Empfehlungen berücksichtigt worden.</w:t>
      </w:r>
    </w:p>
    <w:p w:rsidR="000E728C" w:rsidRPr="00E27362" w:rsidRDefault="000E728C" w:rsidP="00E27362">
      <w:pPr>
        <w:numPr>
          <w:ilvl w:val="0"/>
          <w:numId w:val="1"/>
        </w:numPr>
        <w:spacing w:line="240" w:lineRule="auto"/>
      </w:pPr>
      <w:r>
        <w:t>Zwischen den Empfehlungen und der stützenden Evidenz besteht eine eindeutige Verknüpfung.</w:t>
      </w:r>
    </w:p>
    <w:p w:rsidR="000E728C" w:rsidRPr="00E27362" w:rsidRDefault="000E728C" w:rsidP="00E27362">
      <w:pPr>
        <w:numPr>
          <w:ilvl w:val="0"/>
          <w:numId w:val="1"/>
        </w:numPr>
        <w:spacing w:line="240" w:lineRule="auto"/>
      </w:pPr>
      <w:r>
        <w:lastRenderedPageBreak/>
        <w:t>Die Leitlinie wurde vor ihrer Veröffentlichung von Sachverständigen extern überprüft. [Die Evidenz und die Empfehlungen werden nach Veröffentlichung auf der PROSPECT-Website zum Peer-review vorgelegt werden.]</w:t>
      </w:r>
    </w:p>
    <w:p w:rsidR="000E728C" w:rsidRPr="00E27362" w:rsidRDefault="000E728C" w:rsidP="00E27362">
      <w:pPr>
        <w:numPr>
          <w:ilvl w:val="0"/>
          <w:numId w:val="1"/>
        </w:numPr>
        <w:spacing w:line="240" w:lineRule="auto"/>
      </w:pPr>
      <w:r>
        <w:t>Ein Verfahren zum Aktualisieren der Leitlinie wird zur Verfügung gestellt. [Die Methodik für erforderliche Aktualisierungen der systematischen Übersicht wird bereitgestellt.]</w:t>
      </w:r>
    </w:p>
    <w:p w:rsidR="000E728C" w:rsidRPr="00E27362" w:rsidRDefault="000E728C" w:rsidP="00E27362">
      <w:pPr>
        <w:spacing w:line="240" w:lineRule="auto"/>
        <w:rPr>
          <w:lang w:val="en-GB"/>
        </w:rPr>
      </w:pPr>
    </w:p>
    <w:p w:rsidR="000E728C" w:rsidRPr="00E27362" w:rsidRDefault="000E728C" w:rsidP="00E27362">
      <w:pPr>
        <w:spacing w:line="240" w:lineRule="auto"/>
      </w:pPr>
      <w:r>
        <w:t>Zusammenfassende Empfehlungen</w:t>
      </w:r>
      <w:r>
        <w:br/>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06"/>
        <w:gridCol w:w="6182"/>
      </w:tblGrid>
      <w:tr w:rsidR="000E728C" w:rsidRPr="00F83FE2" w:rsidTr="00E27362">
        <w:tc>
          <w:tcPr>
            <w:tcW w:w="0" w:type="auto"/>
            <w:gridSpan w:val="2"/>
            <w:tcBorders>
              <w:top w:val="single" w:sz="4" w:space="0" w:color="auto"/>
              <w:bottom w:val="single" w:sz="4" w:space="0" w:color="auto"/>
            </w:tcBorders>
            <w:shd w:val="clear" w:color="auto" w:fill="8496B0"/>
          </w:tcPr>
          <w:p w:rsidR="000E728C" w:rsidRPr="00F83FE2" w:rsidRDefault="000E728C" w:rsidP="00E27362">
            <w:pPr>
              <w:spacing w:line="240" w:lineRule="auto"/>
            </w:pPr>
            <w:r w:rsidRPr="00F83FE2">
              <w:rPr>
                <w:b/>
                <w:bCs/>
                <w:iCs/>
              </w:rPr>
              <w:t>Beim Kaiserschnitt empfohlene präoperative Maßnahmen</w:t>
            </w:r>
          </w:p>
          <w:p w:rsidR="000E728C" w:rsidRPr="00F83FE2" w:rsidRDefault="000E728C" w:rsidP="00E27362">
            <w:pPr>
              <w:spacing w:line="240" w:lineRule="auto"/>
            </w:pPr>
            <w:r w:rsidRPr="00F83FE2">
              <w:t>Anmerkung: Sofern nicht anders angegeben, bezeichnet der Begriff „präoperativ“ Maßnahmen, die im Vorfeld einer chirurgischen Inzision angewandt werden</w:t>
            </w:r>
          </w:p>
          <w:p w:rsidR="000E728C" w:rsidRPr="00F83FE2" w:rsidRDefault="000E728C" w:rsidP="00E27362">
            <w:pPr>
              <w:spacing w:line="240" w:lineRule="auto"/>
            </w:pPr>
            <w:r w:rsidRPr="00F83FE2">
              <w:t>Anmerkung: Analgetika sollten zum geeigneten Zeitpunkt (prä- oder intraoperativ) verabreicht werden, damit in der frühen Erholungsphase für eine hinreichende Analgesie gesorgt ist</w:t>
            </w:r>
          </w:p>
        </w:tc>
      </w:tr>
      <w:tr w:rsidR="000E728C" w:rsidRPr="00F83FE2" w:rsidTr="00E27362">
        <w:tc>
          <w:tcPr>
            <w:tcW w:w="0" w:type="auto"/>
            <w:tcBorders>
              <w:top w:val="single" w:sz="4" w:space="0" w:color="auto"/>
              <w:bottom w:val="single" w:sz="4" w:space="0" w:color="auto"/>
              <w:right w:val="single" w:sz="4" w:space="0" w:color="auto"/>
            </w:tcBorders>
          </w:tcPr>
          <w:p w:rsidR="000E728C" w:rsidRPr="00F83FE2" w:rsidRDefault="000E728C" w:rsidP="00E27362">
            <w:pPr>
              <w:spacing w:line="240" w:lineRule="auto"/>
            </w:pPr>
            <w:r w:rsidRPr="00F83FE2">
              <w:rPr>
                <w:b/>
              </w:rPr>
              <w:t>Orale Verabreichung von Gabapentin</w:t>
            </w:r>
          </w:p>
        </w:tc>
        <w:tc>
          <w:tcPr>
            <w:tcW w:w="0" w:type="auto"/>
            <w:tcBorders>
              <w:top w:val="single" w:sz="4" w:space="0" w:color="auto"/>
              <w:left w:val="single" w:sz="4" w:space="0" w:color="auto"/>
              <w:bottom w:val="single" w:sz="4" w:space="0" w:color="auto"/>
            </w:tcBorders>
          </w:tcPr>
          <w:p w:rsidR="000E728C" w:rsidRPr="00F83FE2" w:rsidRDefault="000E728C" w:rsidP="006E3FD1">
            <w:pPr>
              <w:pStyle w:val="ListParagraph"/>
              <w:numPr>
                <w:ilvl w:val="0"/>
                <w:numId w:val="2"/>
              </w:numPr>
              <w:spacing w:line="240" w:lineRule="auto"/>
              <w:ind w:left="284" w:hanging="284"/>
            </w:pPr>
            <w:r w:rsidRPr="00F83FE2">
              <w:t>Für eine verbesserte postoperative Schmerzlinderung (LoE 1) wird eine präoperative orale Gabe einer Einzeldosis von Gabapentin empfohlen (GoR A).</w:t>
            </w:r>
          </w:p>
        </w:tc>
      </w:tr>
      <w:tr w:rsidR="000E728C" w:rsidRPr="00F83FE2" w:rsidTr="00E27362">
        <w:tc>
          <w:tcPr>
            <w:tcW w:w="0" w:type="auto"/>
            <w:gridSpan w:val="2"/>
            <w:tcBorders>
              <w:top w:val="single" w:sz="4" w:space="0" w:color="auto"/>
              <w:bottom w:val="single" w:sz="4" w:space="0" w:color="auto"/>
            </w:tcBorders>
            <w:shd w:val="clear" w:color="auto" w:fill="8496B0"/>
          </w:tcPr>
          <w:p w:rsidR="000E728C" w:rsidRPr="00F83FE2" w:rsidRDefault="000E728C" w:rsidP="00E27362">
            <w:pPr>
              <w:spacing w:line="240" w:lineRule="auto"/>
            </w:pPr>
            <w:r w:rsidRPr="00F83FE2">
              <w:rPr>
                <w:b/>
              </w:rPr>
              <w:t>Anästhesietechniken und koadministrierte Analgetika</w:t>
            </w:r>
          </w:p>
        </w:tc>
      </w:tr>
      <w:tr w:rsidR="000E728C" w:rsidRPr="00F83FE2" w:rsidTr="00E27362">
        <w:trPr>
          <w:trHeight w:val="3130"/>
        </w:trPr>
        <w:tc>
          <w:tcPr>
            <w:tcW w:w="0" w:type="auto"/>
            <w:tcBorders>
              <w:top w:val="single" w:sz="4" w:space="0" w:color="auto"/>
              <w:bottom w:val="single" w:sz="4" w:space="0" w:color="auto"/>
              <w:right w:val="single" w:sz="4" w:space="0" w:color="auto"/>
            </w:tcBorders>
          </w:tcPr>
          <w:p w:rsidR="000E728C" w:rsidRPr="00F83FE2" w:rsidRDefault="000E728C" w:rsidP="00E27362">
            <w:pPr>
              <w:spacing w:line="240" w:lineRule="auto"/>
            </w:pPr>
            <w:r w:rsidRPr="00F83FE2">
              <w:rPr>
                <w:b/>
              </w:rPr>
              <w:t>Anästhesietechniken: Kombinierte Spinal-/</w:t>
            </w:r>
            <w:r w:rsidRPr="00F83FE2">
              <w:rPr>
                <w:rFonts w:ascii="Calibri (Arabic)" w:hAnsi="Calibri (Arabic)"/>
                <w:b/>
              </w:rPr>
              <w:t>‌</w:t>
            </w:r>
            <w:r w:rsidRPr="00F83FE2">
              <w:rPr>
                <w:b/>
              </w:rPr>
              <w:t>Epiduralanästhesie oder Spinalanästhesie</w:t>
            </w:r>
          </w:p>
        </w:tc>
        <w:tc>
          <w:tcPr>
            <w:tcW w:w="0" w:type="auto"/>
            <w:tcBorders>
              <w:top w:val="single" w:sz="4" w:space="0" w:color="auto"/>
              <w:left w:val="single" w:sz="4" w:space="0" w:color="auto"/>
              <w:bottom w:val="single" w:sz="4" w:space="0" w:color="auto"/>
            </w:tcBorders>
          </w:tcPr>
          <w:p w:rsidR="000E728C" w:rsidRPr="00F83FE2" w:rsidRDefault="000E728C" w:rsidP="006E3FD1">
            <w:pPr>
              <w:pStyle w:val="ListParagraph"/>
              <w:numPr>
                <w:ilvl w:val="0"/>
                <w:numId w:val="2"/>
              </w:numPr>
              <w:spacing w:line="240" w:lineRule="auto"/>
              <w:ind w:left="284" w:hanging="284"/>
            </w:pPr>
            <w:r w:rsidRPr="00F83FE2">
              <w:t>Auf Grundlage verfahrensspezifischer Evidenz (LoE 1) wird eine kombinierte Spinal-/Epiduralanästhesie oder eine Spinalanästhesie empfohlen (GoR A)</w:t>
            </w:r>
          </w:p>
          <w:p w:rsidR="000E728C" w:rsidRPr="00F83FE2" w:rsidRDefault="000E728C" w:rsidP="003D042E">
            <w:pPr>
              <w:pStyle w:val="ListParagraph"/>
              <w:numPr>
                <w:ilvl w:val="0"/>
                <w:numId w:val="2"/>
              </w:numPr>
              <w:spacing w:line="240" w:lineRule="auto"/>
              <w:ind w:left="284" w:hanging="284"/>
            </w:pPr>
            <w:r w:rsidRPr="00F83FE2">
              <w:t>In Ermangelung unmittelbarer Vergleichsstudien mit Schwerpunkt auf postoperativer Analgesie liegt keine Evidenz für einen analgetischen Nutzen vor, der die bevorzugte Verwendung einer Allgemeinanästhesie gegenüber einer neuroaxialen Anästhesie (d. h. Epiduralanästhesie, Spinalanästhesie und kombinierte Spinal-/</w:t>
            </w:r>
            <w:r w:rsidRPr="00F83FE2">
              <w:rPr>
                <w:rFonts w:ascii="Calibri (Arabic)" w:hAnsi="Calibri (Arabic)"/>
              </w:rPr>
              <w:t>‌</w:t>
            </w:r>
            <w:r w:rsidRPr="00F83FE2">
              <w:t>Epiduralanästhesie) empfehlen ließe (GoR D).</w:t>
            </w:r>
          </w:p>
          <w:p w:rsidR="000E728C" w:rsidRPr="00F83FE2" w:rsidRDefault="000E728C" w:rsidP="003D042E">
            <w:pPr>
              <w:pStyle w:val="ListParagraph"/>
              <w:numPr>
                <w:ilvl w:val="0"/>
                <w:numId w:val="2"/>
              </w:numPr>
              <w:spacing w:line="240" w:lineRule="auto"/>
              <w:ind w:left="284" w:hanging="284"/>
            </w:pPr>
            <w:r w:rsidRPr="00F83FE2">
              <w:t>Allerdings werden neuraxiale Anästhesietechniken aus Sicherheitsgründen empfohlen (so entfallen bei einer neuraxialen Anästhesie das Erfordernis einer Manipulation der Atemwege wie auch die postoperativen sedierenden Wirkungen von Allgemeinanästhetika) (GoR D)</w:t>
            </w:r>
          </w:p>
        </w:tc>
      </w:tr>
      <w:tr w:rsidR="000E728C" w:rsidRPr="00F83FE2" w:rsidTr="00E27362">
        <w:tc>
          <w:tcPr>
            <w:tcW w:w="0" w:type="auto"/>
            <w:tcBorders>
              <w:top w:val="single" w:sz="4" w:space="0" w:color="auto"/>
              <w:bottom w:val="single" w:sz="4" w:space="0" w:color="auto"/>
              <w:right w:val="single" w:sz="4" w:space="0" w:color="auto"/>
            </w:tcBorders>
          </w:tcPr>
          <w:p w:rsidR="000E728C" w:rsidRPr="00F83FE2" w:rsidRDefault="000E728C" w:rsidP="00E27362">
            <w:pPr>
              <w:spacing w:line="240" w:lineRule="auto"/>
            </w:pPr>
            <w:r w:rsidRPr="00F83FE2">
              <w:rPr>
                <w:b/>
              </w:rPr>
              <w:t>Intrathekale Opioidanalgesie</w:t>
            </w:r>
          </w:p>
        </w:tc>
        <w:tc>
          <w:tcPr>
            <w:tcW w:w="0" w:type="auto"/>
            <w:tcBorders>
              <w:top w:val="single" w:sz="4" w:space="0" w:color="auto"/>
              <w:left w:val="single" w:sz="4" w:space="0" w:color="auto"/>
              <w:bottom w:val="single" w:sz="4" w:space="0" w:color="auto"/>
            </w:tcBorders>
          </w:tcPr>
          <w:p w:rsidR="000E728C" w:rsidRPr="00F83FE2" w:rsidRDefault="000E728C" w:rsidP="003D042E">
            <w:pPr>
              <w:pStyle w:val="ListParagraph"/>
              <w:numPr>
                <w:ilvl w:val="0"/>
                <w:numId w:val="2"/>
              </w:numPr>
              <w:spacing w:line="240" w:lineRule="auto"/>
              <w:ind w:left="284" w:hanging="284"/>
            </w:pPr>
            <w:r w:rsidRPr="00F83FE2">
              <w:t>Auf Grundlage verfahrensspezifischer Evidenz für eine verbesserte postoperative Analgesie (LoE 1) wird im Falle, dass der Patient eine Spinalanästhesie erhalten hat, eine intrathekale Morphingabe von unter 200 µg empfohlen (GoR A).</w:t>
            </w:r>
          </w:p>
          <w:p w:rsidR="000E728C" w:rsidRPr="00F83FE2" w:rsidRDefault="000E728C" w:rsidP="003D042E">
            <w:pPr>
              <w:pStyle w:val="ListParagraph"/>
              <w:numPr>
                <w:ilvl w:val="0"/>
                <w:numId w:val="2"/>
              </w:numPr>
              <w:spacing w:line="240" w:lineRule="auto"/>
              <w:ind w:left="284" w:hanging="284"/>
            </w:pPr>
            <w:r w:rsidRPr="00F83FE2">
              <w:t>Aufgrund der im Zusammenhang mit der Verabreichung von Opioiden auftretenden Nebenwirkungen wie u. a. einer verzögert einsetzenden Atemdepression sollten alternative Analgesietechniken in Betracht gezogen werden.</w:t>
            </w:r>
          </w:p>
        </w:tc>
      </w:tr>
      <w:tr w:rsidR="000E728C" w:rsidRPr="00F83FE2" w:rsidTr="00E27362">
        <w:tc>
          <w:tcPr>
            <w:tcW w:w="0" w:type="auto"/>
            <w:tcBorders>
              <w:top w:val="single" w:sz="4" w:space="0" w:color="auto"/>
              <w:bottom w:val="single" w:sz="4" w:space="0" w:color="auto"/>
              <w:right w:val="single" w:sz="4" w:space="0" w:color="auto"/>
            </w:tcBorders>
          </w:tcPr>
          <w:p w:rsidR="000E728C" w:rsidRPr="00F83FE2" w:rsidRDefault="000E728C" w:rsidP="00E27362">
            <w:pPr>
              <w:spacing w:line="240" w:lineRule="auto"/>
            </w:pPr>
            <w:r w:rsidRPr="00F83FE2">
              <w:rPr>
                <w:b/>
              </w:rPr>
              <w:t>Epidurale Opioidanalgesie</w:t>
            </w:r>
          </w:p>
        </w:tc>
        <w:tc>
          <w:tcPr>
            <w:tcW w:w="0" w:type="auto"/>
            <w:tcBorders>
              <w:top w:val="single" w:sz="4" w:space="0" w:color="auto"/>
              <w:left w:val="single" w:sz="4" w:space="0" w:color="auto"/>
              <w:bottom w:val="single" w:sz="4" w:space="0" w:color="auto"/>
            </w:tcBorders>
          </w:tcPr>
          <w:p w:rsidR="000E728C" w:rsidRPr="00F83FE2" w:rsidRDefault="000E728C" w:rsidP="003D042E">
            <w:pPr>
              <w:pStyle w:val="ListParagraph"/>
              <w:numPr>
                <w:ilvl w:val="0"/>
                <w:numId w:val="2"/>
              </w:numPr>
              <w:spacing w:line="240" w:lineRule="auto"/>
              <w:ind w:left="284" w:hanging="284"/>
            </w:pPr>
            <w:r w:rsidRPr="00F83FE2">
              <w:t xml:space="preserve">Gestützt auf verfahrensspezifische Evidenz für eine verbesserte postoperative Analgesie (LoE 1) wird im Falle, dass der Patient </w:t>
            </w:r>
            <w:r w:rsidRPr="00F83FE2">
              <w:lastRenderedPageBreak/>
              <w:t>eine Epiduralanästhesie erhalten hat, eine epidurale Opioidgabe empfohlen (GoR A).</w:t>
            </w:r>
          </w:p>
          <w:p w:rsidR="000E728C" w:rsidRPr="00F83FE2" w:rsidRDefault="000E728C" w:rsidP="003D042E">
            <w:pPr>
              <w:pStyle w:val="ListParagraph"/>
              <w:numPr>
                <w:ilvl w:val="0"/>
                <w:numId w:val="2"/>
              </w:numPr>
              <w:spacing w:line="240" w:lineRule="auto"/>
              <w:ind w:left="284" w:hanging="284"/>
            </w:pPr>
            <w:r w:rsidRPr="00F83FE2">
              <w:t>Aufgrund der im Zusammenhang mit der Verabreichung von Opioiden auftretenden Nebenwirkungen wie u. a. einer verzögert einsetzenden Atemdepression sollten alternative Analgesietechniken in Betracht gezogen werden.</w:t>
            </w:r>
          </w:p>
        </w:tc>
      </w:tr>
      <w:tr w:rsidR="000E728C" w:rsidRPr="00F83FE2" w:rsidTr="00E27362">
        <w:tc>
          <w:tcPr>
            <w:tcW w:w="0" w:type="auto"/>
            <w:gridSpan w:val="2"/>
            <w:tcBorders>
              <w:top w:val="single" w:sz="4" w:space="0" w:color="auto"/>
              <w:bottom w:val="single" w:sz="4" w:space="0" w:color="auto"/>
            </w:tcBorders>
            <w:shd w:val="clear" w:color="auto" w:fill="8496B0"/>
          </w:tcPr>
          <w:p w:rsidR="000E728C" w:rsidRPr="00F83FE2" w:rsidRDefault="000E728C" w:rsidP="00E27362">
            <w:pPr>
              <w:spacing w:line="240" w:lineRule="auto"/>
            </w:pPr>
            <w:r w:rsidRPr="00F83FE2">
              <w:rPr>
                <w:b/>
              </w:rPr>
              <w:lastRenderedPageBreak/>
              <w:t>Für den Kaiserschnitt empfohlene chirurgische Techniken</w:t>
            </w:r>
          </w:p>
        </w:tc>
      </w:tr>
      <w:tr w:rsidR="000E728C" w:rsidRPr="00F83FE2" w:rsidTr="00E27362">
        <w:tc>
          <w:tcPr>
            <w:tcW w:w="0" w:type="auto"/>
            <w:tcBorders>
              <w:top w:val="single" w:sz="4" w:space="0" w:color="auto"/>
              <w:bottom w:val="single" w:sz="4" w:space="0" w:color="auto"/>
              <w:right w:val="single" w:sz="4" w:space="0" w:color="auto"/>
            </w:tcBorders>
          </w:tcPr>
          <w:p w:rsidR="000E728C" w:rsidRPr="00F83FE2" w:rsidRDefault="000E728C" w:rsidP="00E27362">
            <w:pPr>
              <w:spacing w:line="240" w:lineRule="auto"/>
            </w:pPr>
            <w:r w:rsidRPr="00F83FE2">
              <w:rPr>
                <w:b/>
              </w:rPr>
              <w:t>Chirurgische Techniken: Transversaler Abdominalschnitt und Nichtverschließen des Peritoneums</w:t>
            </w:r>
          </w:p>
        </w:tc>
        <w:tc>
          <w:tcPr>
            <w:tcW w:w="0" w:type="auto"/>
            <w:tcBorders>
              <w:top w:val="single" w:sz="4" w:space="0" w:color="auto"/>
              <w:left w:val="single" w:sz="4" w:space="0" w:color="auto"/>
              <w:bottom w:val="single" w:sz="4" w:space="0" w:color="auto"/>
            </w:tcBorders>
          </w:tcPr>
          <w:p w:rsidR="000E728C" w:rsidRPr="00F83FE2" w:rsidRDefault="000E728C" w:rsidP="003D042E">
            <w:pPr>
              <w:pStyle w:val="ListParagraph"/>
              <w:numPr>
                <w:ilvl w:val="0"/>
                <w:numId w:val="2"/>
              </w:numPr>
              <w:spacing w:line="240" w:lineRule="auto"/>
              <w:ind w:left="284" w:hanging="284"/>
            </w:pPr>
            <w:r w:rsidRPr="00F83FE2">
              <w:t>Der transversale Abdominalschnitt ist gegenüber einer vertikalen Inzision zu bevorzugen (GoR A, LoE 1). Unter den transversalen Schnitten sind der Joel-Cohen-Schnitt und ähnliche Modifizierungen dem Pfannenstiel-Schnitt im Hinblick auf den postoperativen Schmerz überlegen (GoR A, LoE 1)</w:t>
            </w:r>
          </w:p>
          <w:p w:rsidR="000E728C" w:rsidRPr="00F83FE2" w:rsidRDefault="000E728C" w:rsidP="003D042E">
            <w:pPr>
              <w:pStyle w:val="ListParagraph"/>
              <w:numPr>
                <w:ilvl w:val="0"/>
                <w:numId w:val="2"/>
              </w:numPr>
              <w:spacing w:line="240" w:lineRule="auto"/>
              <w:ind w:left="284" w:hanging="284"/>
            </w:pPr>
            <w:r w:rsidRPr="00F83FE2">
              <w:t>Das Nichtverschließen des Peritoneums wird gestützt auf verfahrensspezifische Evidenz für die postoperative Analgesie empfohlen (GoR A, LoE 1)</w:t>
            </w:r>
          </w:p>
        </w:tc>
      </w:tr>
      <w:tr w:rsidR="000E728C" w:rsidRPr="00F83FE2" w:rsidTr="00E27362">
        <w:tc>
          <w:tcPr>
            <w:tcW w:w="0" w:type="auto"/>
            <w:gridSpan w:val="2"/>
            <w:tcBorders>
              <w:top w:val="single" w:sz="4" w:space="0" w:color="auto"/>
              <w:bottom w:val="single" w:sz="4" w:space="0" w:color="auto"/>
            </w:tcBorders>
            <w:shd w:val="clear" w:color="auto" w:fill="8496B0"/>
          </w:tcPr>
          <w:p w:rsidR="000E728C" w:rsidRPr="00F83FE2" w:rsidRDefault="000E728C" w:rsidP="00E27362">
            <w:pPr>
              <w:spacing w:line="240" w:lineRule="auto"/>
            </w:pPr>
            <w:r w:rsidRPr="00F83FE2">
              <w:rPr>
                <w:b/>
              </w:rPr>
              <w:t>Beim Kaiserschnitt empfohlene intraoperative Maßnahmen</w:t>
            </w:r>
          </w:p>
          <w:p w:rsidR="000E728C" w:rsidRPr="00F83FE2" w:rsidRDefault="000E728C" w:rsidP="00E27362">
            <w:pPr>
              <w:spacing w:line="240" w:lineRule="auto"/>
            </w:pPr>
            <w:r w:rsidRPr="00F83FE2">
              <w:t>Anmerkung: Soweit nicht anders angegeben, bezeichnet der Begriff „intraoperativ“ Maßnahmen, die nach der Inzision und vor dem Wundverschluss angewandt werden. Beim Kaiserschnitt bezeichnet „nach der Geburt“ eine Verabreichung, nachdem der Säugling geboren und die Nabelschnur abgeklemmt ist.</w:t>
            </w:r>
          </w:p>
          <w:p w:rsidR="000E728C" w:rsidRPr="00F83FE2" w:rsidRDefault="000E728C" w:rsidP="00E27362">
            <w:pPr>
              <w:spacing w:line="240" w:lineRule="auto"/>
            </w:pPr>
            <w:r w:rsidRPr="00F83FE2">
              <w:t>Anmerkung: Analgetika sollten zum geeigneten Zeitpunkt (prä- oder intraoperativ) verabreicht werden, damit in der frühen Erholungsphase für eine hinreichende Analgesie gesorgt ist.</w:t>
            </w:r>
          </w:p>
        </w:tc>
      </w:tr>
      <w:tr w:rsidR="000E728C" w:rsidRPr="00F83FE2" w:rsidTr="00E27362">
        <w:tc>
          <w:tcPr>
            <w:tcW w:w="0" w:type="auto"/>
            <w:tcBorders>
              <w:top w:val="single" w:sz="4" w:space="0" w:color="auto"/>
              <w:bottom w:val="single" w:sz="4" w:space="0" w:color="auto"/>
              <w:right w:val="single" w:sz="4" w:space="0" w:color="auto"/>
            </w:tcBorders>
          </w:tcPr>
          <w:p w:rsidR="000E728C" w:rsidRPr="00F83FE2" w:rsidRDefault="000E728C" w:rsidP="00E27362">
            <w:pPr>
              <w:spacing w:line="240" w:lineRule="auto"/>
            </w:pPr>
            <w:r w:rsidRPr="00F83FE2">
              <w:rPr>
                <w:b/>
              </w:rPr>
              <w:t>I.v. Verabreichung von NSAR nach der Geburt</w:t>
            </w:r>
          </w:p>
        </w:tc>
        <w:tc>
          <w:tcPr>
            <w:tcW w:w="0" w:type="auto"/>
            <w:tcBorders>
              <w:top w:val="single" w:sz="4" w:space="0" w:color="auto"/>
              <w:left w:val="single" w:sz="4" w:space="0" w:color="auto"/>
              <w:bottom w:val="single" w:sz="4" w:space="0" w:color="auto"/>
            </w:tcBorders>
          </w:tcPr>
          <w:p w:rsidR="000E728C" w:rsidRPr="00F83FE2" w:rsidRDefault="000E728C" w:rsidP="006E3FD1">
            <w:pPr>
              <w:pStyle w:val="ListParagraph"/>
              <w:numPr>
                <w:ilvl w:val="0"/>
                <w:numId w:val="2"/>
              </w:numPr>
              <w:spacing w:line="240" w:lineRule="auto"/>
              <w:ind w:left="284" w:hanging="284"/>
            </w:pPr>
            <w:r w:rsidRPr="00F83FE2">
              <w:t>Die Gabe von NSAR nach der Geburt wird gestützt auf verfahrensspezifische Evidenz (LoE 1) selbst bei Müttern in der Stillzeit (LoE 3) empfohlen (GoR A).</w:t>
            </w:r>
          </w:p>
        </w:tc>
      </w:tr>
      <w:tr w:rsidR="000E728C" w:rsidRPr="00F83FE2" w:rsidTr="00E27362">
        <w:tc>
          <w:tcPr>
            <w:tcW w:w="0" w:type="auto"/>
            <w:tcBorders>
              <w:top w:val="single" w:sz="4" w:space="0" w:color="auto"/>
              <w:bottom w:val="single" w:sz="4" w:space="0" w:color="auto"/>
              <w:right w:val="single" w:sz="4" w:space="0" w:color="auto"/>
            </w:tcBorders>
          </w:tcPr>
          <w:p w:rsidR="000E728C" w:rsidRPr="00F83FE2" w:rsidRDefault="000E728C" w:rsidP="00E27362">
            <w:pPr>
              <w:spacing w:line="240" w:lineRule="auto"/>
            </w:pPr>
            <w:r w:rsidRPr="00F83FE2">
              <w:rPr>
                <w:b/>
              </w:rPr>
              <w:t>I.v. Verabreichung von Paracetamol nach der Geburt</w:t>
            </w:r>
          </w:p>
        </w:tc>
        <w:tc>
          <w:tcPr>
            <w:tcW w:w="0" w:type="auto"/>
            <w:tcBorders>
              <w:top w:val="single" w:sz="4" w:space="0" w:color="auto"/>
              <w:left w:val="single" w:sz="4" w:space="0" w:color="auto"/>
              <w:bottom w:val="single" w:sz="4" w:space="0" w:color="auto"/>
            </w:tcBorders>
          </w:tcPr>
          <w:p w:rsidR="000E728C" w:rsidRPr="00F83FE2" w:rsidRDefault="000E728C" w:rsidP="003D042E">
            <w:pPr>
              <w:pStyle w:val="ListParagraph"/>
              <w:numPr>
                <w:ilvl w:val="0"/>
                <w:numId w:val="2"/>
              </w:numPr>
              <w:spacing w:line="240" w:lineRule="auto"/>
              <w:ind w:left="284" w:hanging="284"/>
            </w:pPr>
            <w:r w:rsidRPr="00F83FE2">
              <w:t>Die Gabe von Paracetamol nach der Geburt wird gestützt auf verfahrensspezifische Evidenz empfohlen (GoR A, LoE 1).</w:t>
            </w:r>
          </w:p>
        </w:tc>
      </w:tr>
      <w:tr w:rsidR="000E728C" w:rsidRPr="00F83FE2" w:rsidTr="00E27362">
        <w:tc>
          <w:tcPr>
            <w:tcW w:w="0" w:type="auto"/>
            <w:tcBorders>
              <w:top w:val="single" w:sz="4" w:space="0" w:color="auto"/>
              <w:bottom w:val="single" w:sz="4" w:space="0" w:color="auto"/>
              <w:right w:val="single" w:sz="4" w:space="0" w:color="auto"/>
            </w:tcBorders>
          </w:tcPr>
          <w:p w:rsidR="000E728C" w:rsidRPr="00F83FE2" w:rsidRDefault="000E728C" w:rsidP="00E27362">
            <w:pPr>
              <w:spacing w:line="240" w:lineRule="auto"/>
            </w:pPr>
            <w:r w:rsidRPr="00F83FE2">
              <w:rPr>
                <w:b/>
              </w:rPr>
              <w:t>Blockade des N. ilioinguinalis und des N. iliohypogastricus nach der Geburt</w:t>
            </w:r>
          </w:p>
        </w:tc>
        <w:tc>
          <w:tcPr>
            <w:tcW w:w="0" w:type="auto"/>
            <w:tcBorders>
              <w:top w:val="single" w:sz="4" w:space="0" w:color="auto"/>
              <w:left w:val="single" w:sz="4" w:space="0" w:color="auto"/>
              <w:bottom w:val="single" w:sz="4" w:space="0" w:color="auto"/>
            </w:tcBorders>
          </w:tcPr>
          <w:p w:rsidR="000E728C" w:rsidRPr="00F83FE2" w:rsidRDefault="000E728C" w:rsidP="003D042E">
            <w:pPr>
              <w:pStyle w:val="ListParagraph"/>
              <w:numPr>
                <w:ilvl w:val="0"/>
                <w:numId w:val="2"/>
              </w:numPr>
              <w:spacing w:line="240" w:lineRule="auto"/>
              <w:ind w:left="284" w:hanging="284"/>
            </w:pPr>
            <w:r w:rsidRPr="00F83FE2">
              <w:t>Eine beidseitige Blockade des N. ilioinguinalis und des N. iliohypogastricus wird gestützt auf verfahrensspezifische Evidenz für die postoperative Analgesie empfohlen (GoR A, LoE 1).</w:t>
            </w:r>
          </w:p>
        </w:tc>
      </w:tr>
      <w:tr w:rsidR="000E728C" w:rsidRPr="00F83FE2" w:rsidTr="00E27362">
        <w:tc>
          <w:tcPr>
            <w:tcW w:w="0" w:type="auto"/>
            <w:tcBorders>
              <w:top w:val="single" w:sz="4" w:space="0" w:color="auto"/>
              <w:bottom w:val="single" w:sz="4" w:space="0" w:color="auto"/>
              <w:right w:val="single" w:sz="4" w:space="0" w:color="auto"/>
            </w:tcBorders>
          </w:tcPr>
          <w:p w:rsidR="000E728C" w:rsidRPr="00F83FE2" w:rsidRDefault="000E728C" w:rsidP="00E27362">
            <w:pPr>
              <w:spacing w:line="240" w:lineRule="auto"/>
            </w:pPr>
            <w:r w:rsidRPr="00F83FE2">
              <w:rPr>
                <w:b/>
              </w:rPr>
              <w:t>Beidseitige TAP-Blockade nach der Geburt</w:t>
            </w:r>
          </w:p>
        </w:tc>
        <w:tc>
          <w:tcPr>
            <w:tcW w:w="0" w:type="auto"/>
            <w:tcBorders>
              <w:top w:val="single" w:sz="4" w:space="0" w:color="auto"/>
              <w:left w:val="single" w:sz="4" w:space="0" w:color="auto"/>
              <w:bottom w:val="single" w:sz="4" w:space="0" w:color="auto"/>
            </w:tcBorders>
          </w:tcPr>
          <w:p w:rsidR="000E728C" w:rsidRPr="00F83FE2" w:rsidRDefault="000E728C" w:rsidP="003D042E">
            <w:pPr>
              <w:pStyle w:val="ListParagraph"/>
              <w:numPr>
                <w:ilvl w:val="0"/>
                <w:numId w:val="2"/>
              </w:numPr>
              <w:spacing w:line="240" w:lineRule="auto"/>
              <w:ind w:left="284" w:hanging="284"/>
            </w:pPr>
            <w:r w:rsidRPr="00F83FE2">
              <w:t>Eine beidseitige TAP-Blockade wird gestützt auf verfahrensspezifische Evidenz für die postoperative Analgesie empfohlen (GoR A, LoE 1).</w:t>
            </w:r>
          </w:p>
        </w:tc>
      </w:tr>
      <w:tr w:rsidR="000E728C" w:rsidRPr="00F83FE2" w:rsidTr="00E27362">
        <w:tc>
          <w:tcPr>
            <w:tcW w:w="0" w:type="auto"/>
            <w:tcBorders>
              <w:top w:val="single" w:sz="4" w:space="0" w:color="auto"/>
              <w:bottom w:val="single" w:sz="4" w:space="0" w:color="auto"/>
              <w:right w:val="single" w:sz="4" w:space="0" w:color="auto"/>
            </w:tcBorders>
          </w:tcPr>
          <w:p w:rsidR="000E728C" w:rsidRPr="00F83FE2" w:rsidRDefault="000E728C" w:rsidP="00E27362">
            <w:pPr>
              <w:spacing w:line="240" w:lineRule="auto"/>
            </w:pPr>
            <w:r w:rsidRPr="00F83FE2">
              <w:rPr>
                <w:b/>
              </w:rPr>
              <w:t>Wundinfiltration mit Lokalanästhetika nach der Geburt</w:t>
            </w:r>
          </w:p>
        </w:tc>
        <w:tc>
          <w:tcPr>
            <w:tcW w:w="0" w:type="auto"/>
            <w:tcBorders>
              <w:top w:val="single" w:sz="4" w:space="0" w:color="auto"/>
              <w:left w:val="single" w:sz="4" w:space="0" w:color="auto"/>
              <w:bottom w:val="single" w:sz="4" w:space="0" w:color="auto"/>
            </w:tcBorders>
          </w:tcPr>
          <w:p w:rsidR="000E728C" w:rsidRPr="00F83FE2" w:rsidRDefault="000E728C" w:rsidP="003D042E">
            <w:pPr>
              <w:pStyle w:val="ListParagraph"/>
              <w:numPr>
                <w:ilvl w:val="0"/>
                <w:numId w:val="2"/>
              </w:numPr>
              <w:spacing w:line="240" w:lineRule="auto"/>
              <w:ind w:left="284" w:hanging="284"/>
            </w:pPr>
            <w:r w:rsidRPr="00F83FE2">
              <w:t>Die Wundinfiltration mit Lokalanästhetika nach der Geburt wird gestützt auf verfahrensspezifische Evidenz empfohlen (GoR A, LoE 1).</w:t>
            </w:r>
          </w:p>
        </w:tc>
      </w:tr>
      <w:tr w:rsidR="000E728C" w:rsidRPr="00F83FE2" w:rsidTr="00E27362">
        <w:tc>
          <w:tcPr>
            <w:tcW w:w="0" w:type="auto"/>
            <w:gridSpan w:val="2"/>
            <w:tcBorders>
              <w:top w:val="single" w:sz="4" w:space="0" w:color="auto"/>
              <w:bottom w:val="single" w:sz="4" w:space="0" w:color="auto"/>
            </w:tcBorders>
            <w:shd w:val="clear" w:color="auto" w:fill="8496B0"/>
          </w:tcPr>
          <w:p w:rsidR="000E728C" w:rsidRPr="00F83FE2" w:rsidRDefault="000E728C" w:rsidP="00E27362">
            <w:pPr>
              <w:spacing w:line="240" w:lineRule="auto"/>
            </w:pPr>
            <w:r w:rsidRPr="00F83FE2">
              <w:rPr>
                <w:b/>
              </w:rPr>
              <w:t>Beim Kaiserschnitt empfohlene postoperative Maßnahmen</w:t>
            </w:r>
          </w:p>
          <w:p w:rsidR="000E728C" w:rsidRPr="00F83FE2" w:rsidRDefault="000E728C" w:rsidP="00E27362">
            <w:pPr>
              <w:spacing w:line="240" w:lineRule="auto"/>
            </w:pPr>
            <w:r w:rsidRPr="00F83FE2">
              <w:t>Anmerkung: „Postoperativ“ bezeichnet beim oder nach dem Wundverschluss ergriffene Maßnahmen.</w:t>
            </w:r>
          </w:p>
          <w:p w:rsidR="000E728C" w:rsidRPr="00F83FE2" w:rsidRDefault="000E728C" w:rsidP="00E27362">
            <w:pPr>
              <w:spacing w:line="240" w:lineRule="auto"/>
            </w:pPr>
            <w:r w:rsidRPr="00F83FE2">
              <w:t xml:space="preserve">Anmerkung: Analgetika sollten zum geeigneten Zeitpunkt (prä- oder intraoperativ) verabreicht </w:t>
            </w:r>
            <w:r w:rsidRPr="00F83FE2">
              <w:lastRenderedPageBreak/>
              <w:t>werden, damit in der frühen Erholungsphase für eine hinreichende Analgesie gesorgt ist.</w:t>
            </w:r>
          </w:p>
        </w:tc>
      </w:tr>
      <w:tr w:rsidR="000E728C" w:rsidRPr="00F83FE2" w:rsidTr="00E27362">
        <w:tc>
          <w:tcPr>
            <w:tcW w:w="0" w:type="auto"/>
            <w:tcBorders>
              <w:top w:val="single" w:sz="4" w:space="0" w:color="auto"/>
              <w:bottom w:val="single" w:sz="4" w:space="0" w:color="auto"/>
              <w:right w:val="single" w:sz="4" w:space="0" w:color="auto"/>
            </w:tcBorders>
          </w:tcPr>
          <w:p w:rsidR="000E728C" w:rsidRPr="00F83FE2" w:rsidRDefault="000E728C" w:rsidP="00E27362">
            <w:pPr>
              <w:spacing w:line="240" w:lineRule="auto"/>
            </w:pPr>
            <w:r w:rsidRPr="00F83FE2">
              <w:rPr>
                <w:b/>
              </w:rPr>
              <w:lastRenderedPageBreak/>
              <w:t>Orale Verabreichung von NSAR</w:t>
            </w:r>
          </w:p>
        </w:tc>
        <w:tc>
          <w:tcPr>
            <w:tcW w:w="0" w:type="auto"/>
            <w:tcBorders>
              <w:top w:val="single" w:sz="4" w:space="0" w:color="auto"/>
              <w:left w:val="single" w:sz="4" w:space="0" w:color="auto"/>
              <w:bottom w:val="single" w:sz="4" w:space="0" w:color="auto"/>
            </w:tcBorders>
          </w:tcPr>
          <w:p w:rsidR="000E728C" w:rsidRPr="00F83FE2" w:rsidRDefault="000E728C" w:rsidP="003D042E">
            <w:pPr>
              <w:pStyle w:val="ListParagraph"/>
              <w:numPr>
                <w:ilvl w:val="0"/>
                <w:numId w:val="2"/>
              </w:numPr>
              <w:spacing w:line="240" w:lineRule="auto"/>
              <w:ind w:left="284" w:hanging="284"/>
            </w:pPr>
            <w:r w:rsidRPr="00F83FE2">
              <w:t>Die postoperative Gabe von NSAR wird gestützt auf verfahrensspezifische Evidenz (LoE 1) selbst bei Müttern in der Stillzeit (LoE 3) empfohlen (GoR A).</w:t>
            </w:r>
          </w:p>
        </w:tc>
      </w:tr>
      <w:tr w:rsidR="000E728C" w:rsidRPr="00F83FE2" w:rsidTr="00E27362">
        <w:tc>
          <w:tcPr>
            <w:tcW w:w="0" w:type="auto"/>
            <w:tcBorders>
              <w:top w:val="single" w:sz="4" w:space="0" w:color="auto"/>
              <w:bottom w:val="single" w:sz="4" w:space="0" w:color="auto"/>
              <w:right w:val="single" w:sz="4" w:space="0" w:color="auto"/>
            </w:tcBorders>
          </w:tcPr>
          <w:p w:rsidR="000E728C" w:rsidRPr="00F83FE2" w:rsidRDefault="000E728C" w:rsidP="00E27362">
            <w:pPr>
              <w:spacing w:line="240" w:lineRule="auto"/>
            </w:pPr>
            <w:r w:rsidRPr="00F83FE2">
              <w:rPr>
                <w:b/>
              </w:rPr>
              <w:t>Orale Verabreichung von Paracetamol</w:t>
            </w:r>
          </w:p>
        </w:tc>
        <w:tc>
          <w:tcPr>
            <w:tcW w:w="0" w:type="auto"/>
            <w:tcBorders>
              <w:top w:val="single" w:sz="4" w:space="0" w:color="auto"/>
              <w:left w:val="single" w:sz="4" w:space="0" w:color="auto"/>
              <w:bottom w:val="single" w:sz="4" w:space="0" w:color="auto"/>
            </w:tcBorders>
          </w:tcPr>
          <w:p w:rsidR="000E728C" w:rsidRPr="00F83FE2" w:rsidRDefault="000E728C" w:rsidP="003D042E">
            <w:pPr>
              <w:pStyle w:val="ListParagraph"/>
              <w:numPr>
                <w:ilvl w:val="0"/>
                <w:numId w:val="2"/>
              </w:numPr>
              <w:spacing w:line="240" w:lineRule="auto"/>
              <w:ind w:left="284" w:hanging="284"/>
            </w:pPr>
            <w:r w:rsidRPr="00F83FE2">
              <w:t>Die postoperative Gabe von Paracetamol wird gestützt auf verfahrensspezifische Evidenz empfohlen (GoR A, LoE 1).</w:t>
            </w:r>
          </w:p>
        </w:tc>
      </w:tr>
      <w:tr w:rsidR="000E728C" w:rsidRPr="00F83FE2" w:rsidTr="00E27362">
        <w:tc>
          <w:tcPr>
            <w:tcW w:w="0" w:type="auto"/>
            <w:tcBorders>
              <w:top w:val="single" w:sz="4" w:space="0" w:color="auto"/>
              <w:bottom w:val="single" w:sz="4" w:space="0" w:color="auto"/>
              <w:right w:val="single" w:sz="4" w:space="0" w:color="auto"/>
            </w:tcBorders>
          </w:tcPr>
          <w:p w:rsidR="000E728C" w:rsidRPr="00F83FE2" w:rsidRDefault="000E728C" w:rsidP="00E27362">
            <w:pPr>
              <w:spacing w:line="240" w:lineRule="auto"/>
            </w:pPr>
            <w:r w:rsidRPr="00F83FE2">
              <w:rPr>
                <w:b/>
              </w:rPr>
              <w:t>Systemische Opioide als Notfall-Analgetika</w:t>
            </w:r>
          </w:p>
        </w:tc>
        <w:tc>
          <w:tcPr>
            <w:tcW w:w="0" w:type="auto"/>
            <w:tcBorders>
              <w:top w:val="single" w:sz="4" w:space="0" w:color="auto"/>
              <w:left w:val="single" w:sz="4" w:space="0" w:color="auto"/>
              <w:bottom w:val="single" w:sz="4" w:space="0" w:color="auto"/>
            </w:tcBorders>
          </w:tcPr>
          <w:p w:rsidR="000E728C" w:rsidRPr="00F83FE2" w:rsidRDefault="000E728C" w:rsidP="003D042E">
            <w:pPr>
              <w:pStyle w:val="ListParagraph"/>
              <w:numPr>
                <w:ilvl w:val="0"/>
                <w:numId w:val="2"/>
              </w:numPr>
              <w:spacing w:line="240" w:lineRule="auto"/>
              <w:ind w:left="284" w:hanging="284"/>
            </w:pPr>
            <w:r w:rsidRPr="00F83FE2">
              <w:t>Systemische Opioide sorgen zwar für eine wirksame Analgesie (GoR A, LoE 1), werden aufgrund auftretender Nebenwirkungen jedoch nur als Notfall-Analgetika empfohlen (GoR D)</w:t>
            </w:r>
          </w:p>
        </w:tc>
      </w:tr>
      <w:tr w:rsidR="000E728C" w:rsidRPr="00F83FE2" w:rsidTr="00E27362">
        <w:tc>
          <w:tcPr>
            <w:tcW w:w="0" w:type="auto"/>
            <w:tcBorders>
              <w:top w:val="single" w:sz="4" w:space="0" w:color="auto"/>
              <w:bottom w:val="single" w:sz="4" w:space="0" w:color="auto"/>
              <w:right w:val="single" w:sz="4" w:space="0" w:color="auto"/>
            </w:tcBorders>
          </w:tcPr>
          <w:p w:rsidR="000E728C" w:rsidRPr="00F83FE2" w:rsidRDefault="000E728C" w:rsidP="00E27362">
            <w:pPr>
              <w:spacing w:line="240" w:lineRule="auto"/>
            </w:pPr>
            <w:r w:rsidRPr="00F83FE2">
              <w:rPr>
                <w:b/>
              </w:rPr>
              <w:t>Kontinuierliche Wundinfusion mit Lokalanästhetika</w:t>
            </w:r>
          </w:p>
        </w:tc>
        <w:tc>
          <w:tcPr>
            <w:tcW w:w="0" w:type="auto"/>
            <w:tcBorders>
              <w:top w:val="single" w:sz="4" w:space="0" w:color="auto"/>
              <w:left w:val="single" w:sz="4" w:space="0" w:color="auto"/>
              <w:bottom w:val="single" w:sz="4" w:space="0" w:color="auto"/>
            </w:tcBorders>
          </w:tcPr>
          <w:p w:rsidR="000E728C" w:rsidRPr="00F83FE2" w:rsidRDefault="000E728C" w:rsidP="003D042E">
            <w:pPr>
              <w:pStyle w:val="ListParagraph"/>
              <w:numPr>
                <w:ilvl w:val="0"/>
                <w:numId w:val="2"/>
              </w:numPr>
              <w:spacing w:line="240" w:lineRule="auto"/>
              <w:ind w:left="284" w:hanging="284"/>
            </w:pPr>
            <w:r w:rsidRPr="00F83FE2">
              <w:t>Eine kontinuierliche Wundinfusion mit Lokalanästhetika wird gestützt auf verfahrensspezifische Evidenz empfohlen (GoR A, LoE 1).</w:t>
            </w:r>
          </w:p>
        </w:tc>
      </w:tr>
    </w:tbl>
    <w:p w:rsidR="000E728C" w:rsidRPr="00E27362" w:rsidRDefault="000E728C" w:rsidP="00E27362">
      <w:pPr>
        <w:spacing w:line="240" w:lineRule="auto"/>
        <w:rPr>
          <w:lang w:val="en-GB"/>
        </w:rPr>
      </w:pPr>
    </w:p>
    <w:p w:rsidR="000E728C" w:rsidRPr="00E27362" w:rsidRDefault="000E728C" w:rsidP="00E27362">
      <w:pPr>
        <w:spacing w:line="240" w:lineRule="auto"/>
      </w:pPr>
      <w:r>
        <w:t xml:space="preserve">Allgemeine Empfehlungen: Schmerzmanagement bei elektivem Kaiserschnitt-Eingriff </w:t>
      </w:r>
      <w:r>
        <w:br/>
      </w:r>
    </w:p>
    <w:tbl>
      <w:tblPr>
        <w:tblW w:w="9180" w:type="dxa"/>
        <w:tblBorders>
          <w:top w:val="single" w:sz="8" w:space="0" w:color="FFFFFF"/>
          <w:left w:val="single" w:sz="8" w:space="0" w:color="FFFFFF"/>
          <w:bottom w:val="single" w:sz="8" w:space="0" w:color="FFFFFF"/>
          <w:right w:val="single" w:sz="8" w:space="0" w:color="FFFFFF"/>
        </w:tblBorders>
        <w:tblLook w:val="0080" w:firstRow="0" w:lastRow="0" w:firstColumn="1" w:lastColumn="0" w:noHBand="0" w:noVBand="0"/>
      </w:tblPr>
      <w:tblGrid>
        <w:gridCol w:w="3085"/>
        <w:gridCol w:w="6095"/>
      </w:tblGrid>
      <w:tr w:rsidR="000E728C" w:rsidRPr="00F83FE2" w:rsidTr="00E27362">
        <w:trPr>
          <w:trHeight w:val="18"/>
        </w:trPr>
        <w:tc>
          <w:tcPr>
            <w:tcW w:w="3085" w:type="dxa"/>
            <w:tcBorders>
              <w:top w:val="single" w:sz="8" w:space="0" w:color="FFFFFF"/>
              <w:bottom w:val="nil"/>
              <w:right w:val="single" w:sz="24" w:space="0" w:color="FFFFFF"/>
            </w:tcBorders>
            <w:shd w:val="clear" w:color="auto" w:fill="5B9BD5"/>
          </w:tcPr>
          <w:p w:rsidR="000E728C" w:rsidRPr="00F83FE2" w:rsidRDefault="000E728C" w:rsidP="00E27362">
            <w:pPr>
              <w:spacing w:line="240" w:lineRule="auto"/>
            </w:pPr>
            <w:r w:rsidRPr="00F83FE2">
              <w:rPr>
                <w:b/>
                <w:bCs/>
              </w:rPr>
              <w:t>Präoperativ</w:t>
            </w:r>
            <w:r w:rsidRPr="00F83FE2">
              <w:rPr>
                <w:b/>
                <w:bCs/>
              </w:rPr>
              <w:tab/>
            </w:r>
          </w:p>
        </w:tc>
        <w:tc>
          <w:tcPr>
            <w:tcW w:w="6095" w:type="dxa"/>
            <w:tcBorders>
              <w:top w:val="single" w:sz="8" w:space="0" w:color="FFFFFF"/>
              <w:left w:val="single" w:sz="8" w:space="0" w:color="FFFFFF"/>
              <w:bottom w:val="single" w:sz="8" w:space="0" w:color="FFFFFF"/>
              <w:right w:val="single" w:sz="4" w:space="0" w:color="FFFFFF"/>
            </w:tcBorders>
            <w:shd w:val="clear" w:color="auto" w:fill="ADCCEA"/>
          </w:tcPr>
          <w:p w:rsidR="000E728C" w:rsidRPr="00F83FE2" w:rsidRDefault="000E728C" w:rsidP="00E27362">
            <w:pPr>
              <w:spacing w:line="240" w:lineRule="auto"/>
            </w:pPr>
            <w:r w:rsidRPr="00F83FE2">
              <w:t>Orale Verabreichung von Gabapentin</w:t>
            </w:r>
          </w:p>
        </w:tc>
      </w:tr>
      <w:tr w:rsidR="000E728C" w:rsidRPr="00F83FE2" w:rsidTr="00E27362">
        <w:trPr>
          <w:trHeight w:val="18"/>
        </w:trPr>
        <w:tc>
          <w:tcPr>
            <w:tcW w:w="3085" w:type="dxa"/>
            <w:tcBorders>
              <w:top w:val="single" w:sz="6" w:space="0" w:color="FFFFFF"/>
              <w:bottom w:val="nil"/>
              <w:right w:val="single" w:sz="24" w:space="0" w:color="FFFFFF"/>
            </w:tcBorders>
            <w:shd w:val="clear" w:color="auto" w:fill="5B9BD5"/>
          </w:tcPr>
          <w:p w:rsidR="000E728C" w:rsidRPr="00F83FE2" w:rsidRDefault="000E728C" w:rsidP="00E27362">
            <w:pPr>
              <w:spacing w:line="240" w:lineRule="auto"/>
            </w:pPr>
            <w:r w:rsidRPr="00F83FE2">
              <w:rPr>
                <w:b/>
              </w:rPr>
              <w:t>Prä-/intraoperative Anästhesietechnik</w:t>
            </w:r>
          </w:p>
        </w:tc>
        <w:tc>
          <w:tcPr>
            <w:tcW w:w="6095" w:type="dxa"/>
            <w:tcBorders>
              <w:top w:val="single" w:sz="8" w:space="0" w:color="FFFFFF"/>
              <w:left w:val="single" w:sz="6" w:space="0" w:color="FFFFFF"/>
              <w:bottom w:val="single" w:sz="8" w:space="0" w:color="FFFFFF"/>
              <w:right w:val="single" w:sz="4" w:space="0" w:color="FFFFFF"/>
            </w:tcBorders>
            <w:shd w:val="clear" w:color="auto" w:fill="D6E6F4"/>
          </w:tcPr>
          <w:p w:rsidR="000E728C" w:rsidRPr="00F83FE2" w:rsidRDefault="000E728C" w:rsidP="00E27362">
            <w:pPr>
              <w:spacing w:line="240" w:lineRule="auto"/>
            </w:pPr>
            <w:r w:rsidRPr="00F83FE2">
              <w:t>Kombinierte Spinal-/Epiduralanästhesie (CSEA) oder Spinalanästhesie (SpA)*</w:t>
            </w:r>
          </w:p>
        </w:tc>
      </w:tr>
      <w:tr w:rsidR="000E728C" w:rsidRPr="00F83FE2" w:rsidTr="00E27362">
        <w:trPr>
          <w:trHeight w:val="18"/>
        </w:trPr>
        <w:tc>
          <w:tcPr>
            <w:tcW w:w="3085" w:type="dxa"/>
            <w:vMerge w:val="restart"/>
            <w:tcBorders>
              <w:top w:val="single" w:sz="8" w:space="0" w:color="FFFFFF"/>
              <w:bottom w:val="nil"/>
              <w:right w:val="single" w:sz="24" w:space="0" w:color="FFFFFF"/>
            </w:tcBorders>
            <w:shd w:val="clear" w:color="auto" w:fill="5B9BD5"/>
          </w:tcPr>
          <w:p w:rsidR="000E728C" w:rsidRPr="00F83FE2" w:rsidRDefault="000E728C" w:rsidP="00E27362">
            <w:pPr>
              <w:spacing w:line="240" w:lineRule="auto"/>
            </w:pPr>
            <w:r w:rsidRPr="00F83FE2">
              <w:rPr>
                <w:b/>
                <w:bCs/>
              </w:rPr>
              <w:t xml:space="preserve">Intraoperativ, nach der Geburt </w:t>
            </w:r>
          </w:p>
        </w:tc>
        <w:tc>
          <w:tcPr>
            <w:tcW w:w="6095" w:type="dxa"/>
            <w:tcBorders>
              <w:top w:val="single" w:sz="8" w:space="0" w:color="FFFFFF"/>
              <w:left w:val="single" w:sz="8" w:space="0" w:color="FFFFFF"/>
              <w:bottom w:val="single" w:sz="8" w:space="0" w:color="FFFFFF"/>
              <w:right w:val="single" w:sz="4" w:space="0" w:color="FFFFFF"/>
            </w:tcBorders>
            <w:shd w:val="clear" w:color="auto" w:fill="ADCCEA"/>
          </w:tcPr>
          <w:p w:rsidR="000E728C" w:rsidRPr="00F83FE2" w:rsidRDefault="000E728C" w:rsidP="00E27362">
            <w:pPr>
              <w:spacing w:line="240" w:lineRule="auto"/>
            </w:pPr>
            <w:r w:rsidRPr="00F83FE2">
              <w:t>I.v. Gabe von Paracetamol + i.v. Gabe von NSAR</w:t>
            </w:r>
            <w:r w:rsidRPr="00F83FE2">
              <w:rPr>
                <w:vertAlign w:val="superscript"/>
              </w:rPr>
              <w:t>#</w:t>
            </w:r>
          </w:p>
        </w:tc>
      </w:tr>
      <w:tr w:rsidR="000E728C" w:rsidRPr="00F83FE2" w:rsidTr="00E27362">
        <w:trPr>
          <w:trHeight w:val="18"/>
        </w:trPr>
        <w:tc>
          <w:tcPr>
            <w:tcW w:w="0" w:type="auto"/>
            <w:vMerge/>
            <w:tcBorders>
              <w:top w:val="single" w:sz="8" w:space="0" w:color="FFFFFF"/>
              <w:bottom w:val="nil"/>
              <w:right w:val="single" w:sz="24" w:space="0" w:color="FFFFFF"/>
            </w:tcBorders>
            <w:vAlign w:val="center"/>
          </w:tcPr>
          <w:p w:rsidR="000E728C" w:rsidRPr="00F83FE2" w:rsidRDefault="000E728C" w:rsidP="00E27362">
            <w:pPr>
              <w:spacing w:line="240" w:lineRule="auto"/>
            </w:pPr>
          </w:p>
        </w:tc>
        <w:tc>
          <w:tcPr>
            <w:tcW w:w="6095" w:type="dxa"/>
            <w:tcBorders>
              <w:top w:val="single" w:sz="8" w:space="0" w:color="FFFFFF"/>
              <w:left w:val="single" w:sz="6" w:space="0" w:color="FFFFFF"/>
              <w:bottom w:val="single" w:sz="8" w:space="0" w:color="FFFFFF"/>
              <w:right w:val="single" w:sz="4" w:space="0" w:color="FFFFFF"/>
            </w:tcBorders>
            <w:shd w:val="clear" w:color="auto" w:fill="D6E6F4"/>
          </w:tcPr>
          <w:p w:rsidR="000E728C" w:rsidRPr="00F83FE2" w:rsidRDefault="000E728C" w:rsidP="00E27362">
            <w:pPr>
              <w:spacing w:line="240" w:lineRule="auto"/>
            </w:pPr>
            <w:r w:rsidRPr="00F83FE2">
              <w:t xml:space="preserve">Wundinfiltration mit Lokalanästhetika </w:t>
            </w:r>
            <w:r w:rsidRPr="00F83FE2">
              <w:rPr>
                <w:b/>
                <w:bCs/>
              </w:rPr>
              <w:t>oder</w:t>
            </w:r>
            <w:r w:rsidRPr="00F83FE2">
              <w:t xml:space="preserve"> TAP-Blockade </w:t>
            </w:r>
            <w:r w:rsidRPr="00F83FE2">
              <w:rPr>
                <w:b/>
                <w:bCs/>
              </w:rPr>
              <w:t>oder</w:t>
            </w:r>
            <w:r w:rsidRPr="00F83FE2">
              <w:t xml:space="preserve"> Blockade des N. ilioinguinalis und des N. iliohypogastricus</w:t>
            </w:r>
          </w:p>
        </w:tc>
      </w:tr>
      <w:tr w:rsidR="000E728C" w:rsidRPr="00F83FE2" w:rsidTr="00E27362">
        <w:trPr>
          <w:trHeight w:val="18"/>
        </w:trPr>
        <w:tc>
          <w:tcPr>
            <w:tcW w:w="3085" w:type="dxa"/>
            <w:vMerge w:val="restart"/>
            <w:tcBorders>
              <w:top w:val="single" w:sz="8" w:space="0" w:color="FFFFFF"/>
              <w:bottom w:val="nil"/>
              <w:right w:val="single" w:sz="24" w:space="0" w:color="FFFFFF"/>
            </w:tcBorders>
            <w:shd w:val="clear" w:color="auto" w:fill="5B9BD5"/>
          </w:tcPr>
          <w:p w:rsidR="000E728C" w:rsidRPr="00F83FE2" w:rsidRDefault="000E728C" w:rsidP="00E27362">
            <w:pPr>
              <w:spacing w:line="240" w:lineRule="auto"/>
            </w:pPr>
            <w:r w:rsidRPr="00F83FE2">
              <w:rPr>
                <w:b/>
                <w:bCs/>
              </w:rPr>
              <w:t xml:space="preserve">Chirurgische Techniken </w:t>
            </w:r>
          </w:p>
        </w:tc>
        <w:tc>
          <w:tcPr>
            <w:tcW w:w="6095" w:type="dxa"/>
            <w:tcBorders>
              <w:top w:val="single" w:sz="8" w:space="0" w:color="FFFFFF"/>
              <w:left w:val="single" w:sz="8" w:space="0" w:color="FFFFFF"/>
              <w:bottom w:val="single" w:sz="8" w:space="0" w:color="FFFFFF"/>
              <w:right w:val="single" w:sz="4" w:space="0" w:color="FFFFFF"/>
            </w:tcBorders>
            <w:shd w:val="clear" w:color="auto" w:fill="ADCCEA"/>
          </w:tcPr>
          <w:p w:rsidR="000E728C" w:rsidRPr="00F83FE2" w:rsidRDefault="000E728C" w:rsidP="00E27362">
            <w:pPr>
              <w:spacing w:line="240" w:lineRule="auto"/>
            </w:pPr>
            <w:r w:rsidRPr="00F83FE2">
              <w:t>Transversaler Schnitt†</w:t>
            </w:r>
          </w:p>
        </w:tc>
      </w:tr>
      <w:tr w:rsidR="000E728C" w:rsidRPr="00F83FE2" w:rsidTr="00E27362">
        <w:trPr>
          <w:trHeight w:val="18"/>
        </w:trPr>
        <w:tc>
          <w:tcPr>
            <w:tcW w:w="0" w:type="auto"/>
            <w:vMerge/>
            <w:tcBorders>
              <w:top w:val="single" w:sz="8" w:space="0" w:color="FFFFFF"/>
              <w:bottom w:val="nil"/>
              <w:right w:val="single" w:sz="24" w:space="0" w:color="FFFFFF"/>
            </w:tcBorders>
            <w:vAlign w:val="center"/>
          </w:tcPr>
          <w:p w:rsidR="000E728C" w:rsidRPr="00F83FE2" w:rsidRDefault="000E728C" w:rsidP="00E27362">
            <w:pPr>
              <w:spacing w:line="240" w:lineRule="auto"/>
            </w:pPr>
          </w:p>
        </w:tc>
        <w:tc>
          <w:tcPr>
            <w:tcW w:w="6095" w:type="dxa"/>
            <w:tcBorders>
              <w:top w:val="single" w:sz="8" w:space="0" w:color="FFFFFF"/>
              <w:left w:val="single" w:sz="6" w:space="0" w:color="FFFFFF"/>
              <w:bottom w:val="single" w:sz="8" w:space="0" w:color="FFFFFF"/>
              <w:right w:val="single" w:sz="4" w:space="0" w:color="FFFFFF"/>
            </w:tcBorders>
            <w:shd w:val="clear" w:color="auto" w:fill="D6E6F4"/>
          </w:tcPr>
          <w:p w:rsidR="000E728C" w:rsidRPr="00F83FE2" w:rsidRDefault="000E728C" w:rsidP="00E27362">
            <w:pPr>
              <w:spacing w:line="240" w:lineRule="auto"/>
            </w:pPr>
            <w:r w:rsidRPr="00F83FE2">
              <w:t>Nichtverschließen des Peritoneums</w:t>
            </w:r>
          </w:p>
        </w:tc>
      </w:tr>
      <w:tr w:rsidR="000E728C" w:rsidRPr="00F83FE2" w:rsidTr="00E27362">
        <w:trPr>
          <w:trHeight w:val="18"/>
        </w:trPr>
        <w:tc>
          <w:tcPr>
            <w:tcW w:w="3085" w:type="dxa"/>
            <w:vMerge w:val="restart"/>
            <w:tcBorders>
              <w:top w:val="single" w:sz="8" w:space="0" w:color="FFFFFF"/>
              <w:bottom w:val="single" w:sz="8" w:space="0" w:color="FFFFFF"/>
              <w:right w:val="single" w:sz="24" w:space="0" w:color="FFFFFF"/>
            </w:tcBorders>
            <w:shd w:val="clear" w:color="auto" w:fill="5B9BD5"/>
          </w:tcPr>
          <w:p w:rsidR="000E728C" w:rsidRPr="00F83FE2" w:rsidRDefault="000E728C" w:rsidP="00E27362">
            <w:pPr>
              <w:spacing w:line="240" w:lineRule="auto"/>
            </w:pPr>
            <w:r w:rsidRPr="00F83FE2">
              <w:rPr>
                <w:b/>
                <w:bCs/>
              </w:rPr>
              <w:t>Postoperativ</w:t>
            </w:r>
          </w:p>
        </w:tc>
        <w:tc>
          <w:tcPr>
            <w:tcW w:w="6095" w:type="dxa"/>
            <w:tcBorders>
              <w:top w:val="single" w:sz="8" w:space="0" w:color="FFFFFF"/>
              <w:left w:val="single" w:sz="8" w:space="0" w:color="FFFFFF"/>
              <w:bottom w:val="single" w:sz="8" w:space="0" w:color="FFFFFF"/>
              <w:right w:val="single" w:sz="4" w:space="0" w:color="FFFFFF"/>
            </w:tcBorders>
            <w:shd w:val="clear" w:color="auto" w:fill="ADCCEA"/>
          </w:tcPr>
          <w:p w:rsidR="000E728C" w:rsidRPr="00F83FE2" w:rsidRDefault="000E728C" w:rsidP="00E27362">
            <w:pPr>
              <w:spacing w:line="240" w:lineRule="auto"/>
            </w:pPr>
            <w:r w:rsidRPr="00F83FE2">
              <w:t>Orale Gabe von Paracetamol + orale Gabe von NSAR + systemische Opioide im Notfall</w:t>
            </w:r>
          </w:p>
        </w:tc>
      </w:tr>
      <w:tr w:rsidR="000E728C" w:rsidRPr="00F83FE2" w:rsidTr="00E27362">
        <w:trPr>
          <w:trHeight w:val="18"/>
        </w:trPr>
        <w:tc>
          <w:tcPr>
            <w:tcW w:w="0" w:type="auto"/>
            <w:vMerge/>
            <w:tcBorders>
              <w:top w:val="single" w:sz="8" w:space="0" w:color="FFFFFF"/>
              <w:bottom w:val="single" w:sz="8" w:space="0" w:color="FFFFFF"/>
              <w:right w:val="single" w:sz="24" w:space="0" w:color="FFFFFF"/>
            </w:tcBorders>
            <w:vAlign w:val="center"/>
          </w:tcPr>
          <w:p w:rsidR="000E728C" w:rsidRPr="00F83FE2" w:rsidRDefault="000E728C" w:rsidP="00E27362">
            <w:pPr>
              <w:spacing w:line="240" w:lineRule="auto"/>
              <w:rPr>
                <w:lang w:val="en-US"/>
              </w:rPr>
            </w:pPr>
          </w:p>
        </w:tc>
        <w:tc>
          <w:tcPr>
            <w:tcW w:w="6095" w:type="dxa"/>
            <w:tcBorders>
              <w:top w:val="single" w:sz="8" w:space="0" w:color="FFFFFF"/>
              <w:left w:val="single" w:sz="6" w:space="0" w:color="FFFFFF"/>
              <w:bottom w:val="single" w:sz="8" w:space="0" w:color="FFFFFF"/>
              <w:right w:val="single" w:sz="4" w:space="0" w:color="FFFFFF"/>
            </w:tcBorders>
            <w:shd w:val="clear" w:color="auto" w:fill="D6E6F4"/>
          </w:tcPr>
          <w:p w:rsidR="000E728C" w:rsidRPr="00F83FE2" w:rsidRDefault="000E728C" w:rsidP="00E27362">
            <w:pPr>
              <w:spacing w:line="240" w:lineRule="auto"/>
            </w:pPr>
            <w:r w:rsidRPr="00F83FE2">
              <w:t>Kontinuierliche Wundinfusion mit Lokalanästhetika</w:t>
            </w:r>
          </w:p>
        </w:tc>
      </w:tr>
      <w:tr w:rsidR="000E728C" w:rsidRPr="00F83FE2" w:rsidTr="00E27362">
        <w:trPr>
          <w:trHeight w:val="18"/>
        </w:trPr>
        <w:tc>
          <w:tcPr>
            <w:tcW w:w="9180" w:type="dxa"/>
            <w:gridSpan w:val="2"/>
            <w:tcBorders>
              <w:top w:val="single" w:sz="8" w:space="0" w:color="FFFFFF"/>
              <w:bottom w:val="single" w:sz="8" w:space="0" w:color="FFFFFF"/>
              <w:right w:val="single" w:sz="4" w:space="0" w:color="FFFFFF"/>
            </w:tcBorders>
            <w:shd w:val="clear" w:color="auto" w:fill="9CC2E5"/>
          </w:tcPr>
          <w:p w:rsidR="000E728C" w:rsidRPr="00F83FE2" w:rsidRDefault="000E728C" w:rsidP="00E27362">
            <w:pPr>
              <w:spacing w:line="240" w:lineRule="auto"/>
            </w:pPr>
            <w:r w:rsidRPr="00F83FE2">
              <w:t>* Die i.th. Verabreichung von Morphin und die epidurale Gabe von Opioiden werden zwar empfohlen, jedoch sollten alternative Analgesie-Techniken wie Wundinfiltration mit Lokalanästhetika, TAP-Blockade, Blockade des N. ilioinguinalis und des N. iliohypogastricus in Betracht gezogen werden, um bei einer neuroaxialen Opioidapplikation möglicherweise auftretende Nebenwirkungen zu vermeiden.</w:t>
            </w:r>
          </w:p>
          <w:p w:rsidR="000E728C" w:rsidRPr="00F83FE2" w:rsidRDefault="000E728C" w:rsidP="00E27362">
            <w:pPr>
              <w:spacing w:line="240" w:lineRule="auto"/>
            </w:pPr>
            <w:r w:rsidRPr="00F83FE2">
              <w:t># Bei einer neuroaxialen Opioidapplikation kann sich eine i.v. Verabreichung von Paracetamol und von NSAR als nicht erforderlich erweisen.</w:t>
            </w:r>
          </w:p>
          <w:p w:rsidR="000E728C" w:rsidRPr="00F83FE2" w:rsidRDefault="000E728C" w:rsidP="00E27362">
            <w:pPr>
              <w:spacing w:line="240" w:lineRule="auto"/>
            </w:pPr>
            <w:r w:rsidRPr="00F83FE2">
              <w:t>† Unter den transversalen Schnitten sind der Joel-Cohen-Schnitt und ähnliche Modifizierungen dem Pfannenstiel-Schnitt im Hinblick auf den postoperativen Schmerz überlegen.</w:t>
            </w:r>
          </w:p>
        </w:tc>
      </w:tr>
    </w:tbl>
    <w:p w:rsidR="000E728C" w:rsidRDefault="000E728C" w:rsidP="006E3FD1">
      <w:pPr>
        <w:spacing w:line="240" w:lineRule="auto"/>
        <w:rPr>
          <w:lang w:val="en-GB"/>
        </w:rPr>
      </w:pPr>
    </w:p>
    <w:p w:rsidR="000E728C" w:rsidRDefault="000E728C">
      <w:pPr>
        <w:rPr>
          <w:lang w:val="en-GB"/>
        </w:rPr>
      </w:pPr>
      <w:r>
        <w:rPr>
          <w:lang w:val="en-GB"/>
        </w:rPr>
        <w:br w:type="page"/>
      </w:r>
    </w:p>
    <w:p w:rsidR="000E728C" w:rsidRPr="00E27362" w:rsidRDefault="000E728C" w:rsidP="006E3FD1">
      <w:pPr>
        <w:spacing w:line="240" w:lineRule="auto"/>
      </w:pPr>
      <w:r>
        <w:t>Beim Kaiserschnitt nicht empfohlen</w:t>
      </w:r>
      <w: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5"/>
        <w:gridCol w:w="6855"/>
      </w:tblGrid>
      <w:tr w:rsidR="000E728C" w:rsidRPr="00F83FE2" w:rsidTr="00E27362">
        <w:tc>
          <w:tcPr>
            <w:tcW w:w="0" w:type="auto"/>
          </w:tcPr>
          <w:p w:rsidR="000E728C" w:rsidRPr="00F83FE2" w:rsidRDefault="000E728C" w:rsidP="00E27362">
            <w:pPr>
              <w:spacing w:line="240" w:lineRule="auto"/>
            </w:pPr>
            <w:r w:rsidRPr="00F83FE2">
              <w:rPr>
                <w:b/>
              </w:rPr>
              <w:t>Dexamethason</w:t>
            </w:r>
          </w:p>
        </w:tc>
        <w:tc>
          <w:tcPr>
            <w:tcW w:w="0" w:type="auto"/>
          </w:tcPr>
          <w:p w:rsidR="000E728C" w:rsidRPr="00F83FE2" w:rsidRDefault="000E728C" w:rsidP="00E27362">
            <w:pPr>
              <w:spacing w:line="240" w:lineRule="auto"/>
            </w:pPr>
            <w:r w:rsidRPr="00F83FE2">
              <w:t>Aufgrund mangelnder verfahrensspezifischer Evidenz kann eine präoperative Gabe von Dexamethason zum gegenwärtigen Zeitpunkt nicht empfohlen werden (GoR D).</w:t>
            </w:r>
          </w:p>
        </w:tc>
      </w:tr>
      <w:tr w:rsidR="000E728C" w:rsidRPr="00F83FE2" w:rsidTr="00E27362">
        <w:tc>
          <w:tcPr>
            <w:tcW w:w="0" w:type="auto"/>
          </w:tcPr>
          <w:p w:rsidR="000E728C" w:rsidRPr="00F83FE2" w:rsidRDefault="000E728C" w:rsidP="00E27362">
            <w:pPr>
              <w:spacing w:line="240" w:lineRule="auto"/>
            </w:pPr>
            <w:r w:rsidRPr="00F83FE2">
              <w:rPr>
                <w:b/>
              </w:rPr>
              <w:t>Neuraxiale Verabreichung von Clonidin</w:t>
            </w:r>
          </w:p>
        </w:tc>
        <w:tc>
          <w:tcPr>
            <w:tcW w:w="0" w:type="auto"/>
          </w:tcPr>
          <w:p w:rsidR="000E728C" w:rsidRPr="00F83FE2" w:rsidRDefault="000E728C" w:rsidP="00E27362">
            <w:pPr>
              <w:spacing w:line="240" w:lineRule="auto"/>
            </w:pPr>
            <w:r w:rsidRPr="00F83FE2">
              <w:t>Obwohl verfahrensspezifische Evidenz auf eine überdurchschnittliche Analgesie hindeutet, wird die neuraxiale Verabreichung von Clonidin aufgrund von Nebenwirkungen (z. B. Hypotonie) nicht empfohlen (GoR D).</w:t>
            </w:r>
          </w:p>
        </w:tc>
      </w:tr>
      <w:tr w:rsidR="000E728C" w:rsidRPr="00F83FE2" w:rsidTr="00E27362">
        <w:tc>
          <w:tcPr>
            <w:tcW w:w="0" w:type="auto"/>
          </w:tcPr>
          <w:p w:rsidR="000E728C" w:rsidRPr="00F83FE2" w:rsidRDefault="000E728C" w:rsidP="00E27362">
            <w:pPr>
              <w:spacing w:line="240" w:lineRule="auto"/>
            </w:pPr>
            <w:r w:rsidRPr="00F83FE2">
              <w:rPr>
                <w:b/>
              </w:rPr>
              <w:t>Ketamin</w:t>
            </w:r>
          </w:p>
        </w:tc>
        <w:tc>
          <w:tcPr>
            <w:tcW w:w="0" w:type="auto"/>
          </w:tcPr>
          <w:p w:rsidR="000E728C" w:rsidRPr="00F83FE2" w:rsidRDefault="000E728C" w:rsidP="00E27362">
            <w:pPr>
              <w:spacing w:line="240" w:lineRule="auto"/>
            </w:pPr>
            <w:r w:rsidRPr="00F83FE2">
              <w:t>Aufgrund inkonsistenter verfahrensspezifischer Evidenz kann die Gabe von Ketamin zum gegenwärtigen Zeitpunkt nicht empfohlen werden (GoR D).</w:t>
            </w:r>
          </w:p>
        </w:tc>
      </w:tr>
      <w:tr w:rsidR="000E728C" w:rsidRPr="00F83FE2" w:rsidTr="00E27362">
        <w:tc>
          <w:tcPr>
            <w:tcW w:w="0" w:type="auto"/>
          </w:tcPr>
          <w:p w:rsidR="000E728C" w:rsidRPr="00F83FE2" w:rsidRDefault="000E728C" w:rsidP="00E27362">
            <w:pPr>
              <w:spacing w:line="240" w:lineRule="auto"/>
            </w:pPr>
            <w:r w:rsidRPr="00F83FE2">
              <w:rPr>
                <w:b/>
              </w:rPr>
              <w:t>TENS</w:t>
            </w:r>
          </w:p>
        </w:tc>
        <w:tc>
          <w:tcPr>
            <w:tcW w:w="0" w:type="auto"/>
          </w:tcPr>
          <w:p w:rsidR="000E728C" w:rsidRPr="00F83FE2" w:rsidRDefault="000E728C" w:rsidP="00E27362">
            <w:pPr>
              <w:spacing w:line="240" w:lineRule="auto"/>
            </w:pPr>
            <w:r w:rsidRPr="00F83FE2">
              <w:t>Aufgrund nur begrenzter verfahrensspezifischer Evidenz kann eine transkutane elektrische Nervenstimulation (TENS) nicht empfohlen werden.</w:t>
            </w:r>
          </w:p>
        </w:tc>
      </w:tr>
      <w:tr w:rsidR="000E728C" w:rsidRPr="00F83FE2" w:rsidTr="00E27362">
        <w:tc>
          <w:tcPr>
            <w:tcW w:w="0" w:type="auto"/>
          </w:tcPr>
          <w:p w:rsidR="000E728C" w:rsidRPr="00F83FE2" w:rsidRDefault="000E728C" w:rsidP="00E27362">
            <w:pPr>
              <w:spacing w:line="240" w:lineRule="auto"/>
            </w:pPr>
            <w:r w:rsidRPr="00F83FE2">
              <w:rPr>
                <w:b/>
              </w:rPr>
              <w:t>Wundinfiltration mit NSAR</w:t>
            </w:r>
          </w:p>
        </w:tc>
        <w:tc>
          <w:tcPr>
            <w:tcW w:w="0" w:type="auto"/>
          </w:tcPr>
          <w:p w:rsidR="000E728C" w:rsidRPr="00F83FE2" w:rsidRDefault="000E728C" w:rsidP="00E27362">
            <w:pPr>
              <w:spacing w:line="240" w:lineRule="auto"/>
            </w:pPr>
            <w:r w:rsidRPr="00F83FE2">
              <w:t>Aufgrund nur begrenzter Vergleichsdaten mit einer systemischen Verabreichung kann eine Wundinfiltration mit NSAR zum gegenwärtigen Zeitpunkt nicht empfohlen werden (GoR D).</w:t>
            </w:r>
          </w:p>
        </w:tc>
      </w:tr>
      <w:tr w:rsidR="000E728C" w:rsidRPr="00F83FE2" w:rsidTr="00E27362">
        <w:tc>
          <w:tcPr>
            <w:tcW w:w="0" w:type="auto"/>
          </w:tcPr>
          <w:p w:rsidR="000E728C" w:rsidRPr="00F83FE2" w:rsidRDefault="000E728C" w:rsidP="00E27362">
            <w:pPr>
              <w:spacing w:line="240" w:lineRule="auto"/>
            </w:pPr>
            <w:r w:rsidRPr="00F83FE2">
              <w:rPr>
                <w:b/>
              </w:rPr>
              <w:t>Kontinuierliche Wundinfusion mit NSAR</w:t>
            </w:r>
          </w:p>
        </w:tc>
        <w:tc>
          <w:tcPr>
            <w:tcW w:w="0" w:type="auto"/>
          </w:tcPr>
          <w:p w:rsidR="000E728C" w:rsidRPr="00F83FE2" w:rsidRDefault="000E728C" w:rsidP="00E27362">
            <w:pPr>
              <w:spacing w:line="240" w:lineRule="auto"/>
            </w:pPr>
            <w:r w:rsidRPr="00F83FE2">
              <w:t>Aufgrund nur begrenzter verfahrensspezifischer Evidenz kann eine kontinuierliche Wundinfusion mit NSAR nicht empfohlen werden.</w:t>
            </w:r>
          </w:p>
        </w:tc>
      </w:tr>
      <w:bookmarkEnd w:id="0"/>
    </w:tbl>
    <w:p w:rsidR="000E728C" w:rsidRPr="00E27362" w:rsidRDefault="000E728C" w:rsidP="00E27362">
      <w:pPr>
        <w:spacing w:line="240" w:lineRule="auto"/>
        <w:rPr>
          <w:lang w:val="en-US"/>
        </w:rPr>
      </w:pPr>
    </w:p>
    <w:sectPr w:rsidR="000E728C" w:rsidRPr="00E27362" w:rsidSect="007C08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Arabic)">
    <w:altName w:val="Arial"/>
    <w:panose1 w:val="00000000000000000000"/>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B3039"/>
    <w:multiLevelType w:val="multilevel"/>
    <w:tmpl w:val="489C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FB657E"/>
    <w:multiLevelType w:val="hybridMultilevel"/>
    <w:tmpl w:val="9D4012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Porto::GUID" w:val="{9548f02e-7bc6-49c5-9880-9cb3ee280557}"/>
  </w:docVars>
  <w:rsids>
    <w:rsidRoot w:val="00E27362"/>
    <w:rsid w:val="000514A4"/>
    <w:rsid w:val="0008383B"/>
    <w:rsid w:val="000E728C"/>
    <w:rsid w:val="00106DAA"/>
    <w:rsid w:val="001D3843"/>
    <w:rsid w:val="00200555"/>
    <w:rsid w:val="00251904"/>
    <w:rsid w:val="003D042E"/>
    <w:rsid w:val="00431A00"/>
    <w:rsid w:val="004827ED"/>
    <w:rsid w:val="00491F47"/>
    <w:rsid w:val="00694AA4"/>
    <w:rsid w:val="006E0352"/>
    <w:rsid w:val="006E3FD1"/>
    <w:rsid w:val="00756BF8"/>
    <w:rsid w:val="0076178A"/>
    <w:rsid w:val="007C0838"/>
    <w:rsid w:val="00996772"/>
    <w:rsid w:val="00A46AC4"/>
    <w:rsid w:val="00AD0746"/>
    <w:rsid w:val="00C60A3B"/>
    <w:rsid w:val="00D64CCD"/>
    <w:rsid w:val="00DD4B26"/>
    <w:rsid w:val="00E27362"/>
    <w:rsid w:val="00E33D8B"/>
    <w:rsid w:val="00E97E88"/>
    <w:rsid w:val="00F83F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087731-6F6E-4F9F-8958-13EF6B12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838"/>
    <w:pPr>
      <w:spacing w:after="160" w:line="259"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27362"/>
    <w:rPr>
      <w:rFonts w:cs="Times New Roman"/>
      <w:color w:val="0563C1"/>
      <w:u w:val="single"/>
    </w:rPr>
  </w:style>
  <w:style w:type="paragraph" w:styleId="BalloonText">
    <w:name w:val="Balloon Text"/>
    <w:basedOn w:val="Normal"/>
    <w:link w:val="BalloonTextChar"/>
    <w:uiPriority w:val="99"/>
    <w:semiHidden/>
    <w:rsid w:val="00431A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31A00"/>
    <w:rPr>
      <w:rFonts w:ascii="Tahoma" w:hAnsi="Tahoma" w:cs="Tahoma"/>
      <w:sz w:val="16"/>
      <w:szCs w:val="16"/>
    </w:rPr>
  </w:style>
  <w:style w:type="table" w:styleId="TableGrid">
    <w:name w:val="Table Grid"/>
    <w:basedOn w:val="TableNormal"/>
    <w:uiPriority w:val="99"/>
    <w:rsid w:val="00431A00"/>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D0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38817">
      <w:marLeft w:val="0"/>
      <w:marRight w:val="0"/>
      <w:marTop w:val="0"/>
      <w:marBottom w:val="1650"/>
      <w:divBdr>
        <w:top w:val="none" w:sz="0" w:space="0" w:color="auto"/>
        <w:left w:val="none" w:sz="0" w:space="0" w:color="auto"/>
        <w:bottom w:val="none" w:sz="0" w:space="0" w:color="auto"/>
        <w:right w:val="none" w:sz="0" w:space="0" w:color="auto"/>
      </w:divBdr>
      <w:divsChild>
        <w:div w:id="1004938829">
          <w:marLeft w:val="0"/>
          <w:marRight w:val="0"/>
          <w:marTop w:val="0"/>
          <w:marBottom w:val="0"/>
          <w:divBdr>
            <w:top w:val="none" w:sz="0" w:space="0" w:color="auto"/>
            <w:left w:val="none" w:sz="0" w:space="0" w:color="auto"/>
            <w:bottom w:val="none" w:sz="0" w:space="0" w:color="auto"/>
            <w:right w:val="none" w:sz="0" w:space="0" w:color="auto"/>
          </w:divBdr>
          <w:divsChild>
            <w:div w:id="1004938819">
              <w:marLeft w:val="0"/>
              <w:marRight w:val="0"/>
              <w:marTop w:val="0"/>
              <w:marBottom w:val="0"/>
              <w:divBdr>
                <w:top w:val="none" w:sz="0" w:space="0" w:color="auto"/>
                <w:left w:val="none" w:sz="0" w:space="0" w:color="auto"/>
                <w:bottom w:val="none" w:sz="0" w:space="0" w:color="auto"/>
                <w:right w:val="none" w:sz="0" w:space="0" w:color="auto"/>
              </w:divBdr>
              <w:divsChild>
                <w:div w:id="1004938814">
                  <w:marLeft w:val="0"/>
                  <w:marRight w:val="0"/>
                  <w:marTop w:val="0"/>
                  <w:marBottom w:val="0"/>
                  <w:divBdr>
                    <w:top w:val="none" w:sz="0" w:space="0" w:color="auto"/>
                    <w:left w:val="none" w:sz="0" w:space="0" w:color="auto"/>
                    <w:bottom w:val="none" w:sz="0" w:space="0" w:color="auto"/>
                    <w:right w:val="none" w:sz="0" w:space="0" w:color="auto"/>
                  </w:divBdr>
                  <w:divsChild>
                    <w:div w:id="1004938812">
                      <w:marLeft w:val="0"/>
                      <w:marRight w:val="0"/>
                      <w:marTop w:val="0"/>
                      <w:marBottom w:val="0"/>
                      <w:divBdr>
                        <w:top w:val="none" w:sz="0" w:space="0" w:color="auto"/>
                        <w:left w:val="none" w:sz="0" w:space="0" w:color="auto"/>
                        <w:bottom w:val="none" w:sz="0" w:space="0" w:color="auto"/>
                        <w:right w:val="none" w:sz="0" w:space="0" w:color="auto"/>
                      </w:divBdr>
                      <w:divsChild>
                        <w:div w:id="1004938827">
                          <w:marLeft w:val="0"/>
                          <w:marRight w:val="0"/>
                          <w:marTop w:val="75"/>
                          <w:marBottom w:val="0"/>
                          <w:divBdr>
                            <w:top w:val="none" w:sz="0" w:space="0" w:color="auto"/>
                            <w:left w:val="none" w:sz="0" w:space="0" w:color="auto"/>
                            <w:bottom w:val="none" w:sz="0" w:space="0" w:color="auto"/>
                            <w:right w:val="none" w:sz="0" w:space="0" w:color="auto"/>
                          </w:divBdr>
                        </w:div>
                        <w:div w:id="10049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8820">
                  <w:marLeft w:val="0"/>
                  <w:marRight w:val="0"/>
                  <w:marTop w:val="0"/>
                  <w:marBottom w:val="0"/>
                  <w:divBdr>
                    <w:top w:val="none" w:sz="0" w:space="0" w:color="auto"/>
                    <w:left w:val="none" w:sz="0" w:space="0" w:color="auto"/>
                    <w:bottom w:val="none" w:sz="0" w:space="0" w:color="auto"/>
                    <w:right w:val="none" w:sz="0" w:space="0" w:color="auto"/>
                  </w:divBdr>
                  <w:divsChild>
                    <w:div w:id="1004938822">
                      <w:marLeft w:val="0"/>
                      <w:marRight w:val="0"/>
                      <w:marTop w:val="0"/>
                      <w:marBottom w:val="0"/>
                      <w:divBdr>
                        <w:top w:val="none" w:sz="0" w:space="0" w:color="auto"/>
                        <w:left w:val="none" w:sz="0" w:space="0" w:color="auto"/>
                        <w:bottom w:val="none" w:sz="0" w:space="0" w:color="auto"/>
                        <w:right w:val="none" w:sz="0" w:space="0" w:color="auto"/>
                      </w:divBdr>
                      <w:divsChild>
                        <w:div w:id="1004938833">
                          <w:marLeft w:val="0"/>
                          <w:marRight w:val="0"/>
                          <w:marTop w:val="75"/>
                          <w:marBottom w:val="0"/>
                          <w:divBdr>
                            <w:top w:val="none" w:sz="0" w:space="0" w:color="auto"/>
                            <w:left w:val="none" w:sz="0" w:space="0" w:color="auto"/>
                            <w:bottom w:val="none" w:sz="0" w:space="0" w:color="auto"/>
                            <w:right w:val="none" w:sz="0" w:space="0" w:color="auto"/>
                          </w:divBdr>
                        </w:div>
                        <w:div w:id="10049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8844">
                  <w:marLeft w:val="0"/>
                  <w:marRight w:val="0"/>
                  <w:marTop w:val="0"/>
                  <w:marBottom w:val="0"/>
                  <w:divBdr>
                    <w:top w:val="none" w:sz="0" w:space="0" w:color="auto"/>
                    <w:left w:val="none" w:sz="0" w:space="0" w:color="auto"/>
                    <w:bottom w:val="none" w:sz="0" w:space="0" w:color="auto"/>
                    <w:right w:val="none" w:sz="0" w:space="0" w:color="auto"/>
                  </w:divBdr>
                  <w:divsChild>
                    <w:div w:id="1004938834">
                      <w:marLeft w:val="0"/>
                      <w:marRight w:val="0"/>
                      <w:marTop w:val="0"/>
                      <w:marBottom w:val="0"/>
                      <w:divBdr>
                        <w:top w:val="none" w:sz="0" w:space="0" w:color="auto"/>
                        <w:left w:val="none" w:sz="0" w:space="0" w:color="auto"/>
                        <w:bottom w:val="none" w:sz="0" w:space="0" w:color="auto"/>
                        <w:right w:val="none" w:sz="0" w:space="0" w:color="auto"/>
                      </w:divBdr>
                      <w:divsChild>
                        <w:div w:id="1004938824">
                          <w:marLeft w:val="0"/>
                          <w:marRight w:val="0"/>
                          <w:marTop w:val="0"/>
                          <w:marBottom w:val="0"/>
                          <w:divBdr>
                            <w:top w:val="none" w:sz="0" w:space="0" w:color="auto"/>
                            <w:left w:val="none" w:sz="0" w:space="0" w:color="auto"/>
                            <w:bottom w:val="none" w:sz="0" w:space="0" w:color="auto"/>
                            <w:right w:val="none" w:sz="0" w:space="0" w:color="auto"/>
                          </w:divBdr>
                          <w:divsChild>
                            <w:div w:id="100493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8848">
                  <w:marLeft w:val="0"/>
                  <w:marRight w:val="0"/>
                  <w:marTop w:val="0"/>
                  <w:marBottom w:val="0"/>
                  <w:divBdr>
                    <w:top w:val="none" w:sz="0" w:space="0" w:color="auto"/>
                    <w:left w:val="none" w:sz="0" w:space="0" w:color="auto"/>
                    <w:bottom w:val="none" w:sz="0" w:space="0" w:color="auto"/>
                    <w:right w:val="none" w:sz="0" w:space="0" w:color="auto"/>
                  </w:divBdr>
                  <w:divsChild>
                    <w:div w:id="1004938845">
                      <w:marLeft w:val="0"/>
                      <w:marRight w:val="0"/>
                      <w:marTop w:val="0"/>
                      <w:marBottom w:val="0"/>
                      <w:divBdr>
                        <w:top w:val="none" w:sz="0" w:space="0" w:color="auto"/>
                        <w:left w:val="none" w:sz="0" w:space="0" w:color="auto"/>
                        <w:bottom w:val="none" w:sz="0" w:space="0" w:color="auto"/>
                        <w:right w:val="none" w:sz="0" w:space="0" w:color="auto"/>
                      </w:divBdr>
                      <w:divsChild>
                        <w:div w:id="1004938821">
                          <w:marLeft w:val="0"/>
                          <w:marRight w:val="0"/>
                          <w:marTop w:val="0"/>
                          <w:marBottom w:val="0"/>
                          <w:divBdr>
                            <w:top w:val="none" w:sz="0" w:space="0" w:color="auto"/>
                            <w:left w:val="none" w:sz="0" w:space="0" w:color="auto"/>
                            <w:bottom w:val="none" w:sz="0" w:space="0" w:color="auto"/>
                            <w:right w:val="none" w:sz="0" w:space="0" w:color="auto"/>
                          </w:divBdr>
                        </w:div>
                        <w:div w:id="10049388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938841">
      <w:marLeft w:val="0"/>
      <w:marRight w:val="0"/>
      <w:marTop w:val="0"/>
      <w:marBottom w:val="1650"/>
      <w:divBdr>
        <w:top w:val="none" w:sz="0" w:space="0" w:color="auto"/>
        <w:left w:val="none" w:sz="0" w:space="0" w:color="auto"/>
        <w:bottom w:val="none" w:sz="0" w:space="0" w:color="auto"/>
        <w:right w:val="none" w:sz="0" w:space="0" w:color="auto"/>
      </w:divBdr>
      <w:divsChild>
        <w:div w:id="1004938840">
          <w:marLeft w:val="0"/>
          <w:marRight w:val="0"/>
          <w:marTop w:val="0"/>
          <w:marBottom w:val="0"/>
          <w:divBdr>
            <w:top w:val="none" w:sz="0" w:space="0" w:color="auto"/>
            <w:left w:val="none" w:sz="0" w:space="0" w:color="auto"/>
            <w:bottom w:val="none" w:sz="0" w:space="0" w:color="auto"/>
            <w:right w:val="none" w:sz="0" w:space="0" w:color="auto"/>
          </w:divBdr>
          <w:divsChild>
            <w:div w:id="1004938839">
              <w:marLeft w:val="0"/>
              <w:marRight w:val="0"/>
              <w:marTop w:val="0"/>
              <w:marBottom w:val="0"/>
              <w:divBdr>
                <w:top w:val="none" w:sz="0" w:space="0" w:color="auto"/>
                <w:left w:val="none" w:sz="0" w:space="0" w:color="auto"/>
                <w:bottom w:val="none" w:sz="0" w:space="0" w:color="auto"/>
                <w:right w:val="none" w:sz="0" w:space="0" w:color="auto"/>
              </w:divBdr>
              <w:divsChild>
                <w:div w:id="1004938813">
                  <w:marLeft w:val="0"/>
                  <w:marRight w:val="0"/>
                  <w:marTop w:val="0"/>
                  <w:marBottom w:val="0"/>
                  <w:divBdr>
                    <w:top w:val="none" w:sz="0" w:space="0" w:color="auto"/>
                    <w:left w:val="none" w:sz="0" w:space="0" w:color="auto"/>
                    <w:bottom w:val="none" w:sz="0" w:space="0" w:color="auto"/>
                    <w:right w:val="none" w:sz="0" w:space="0" w:color="auto"/>
                  </w:divBdr>
                  <w:divsChild>
                    <w:div w:id="1004938830">
                      <w:marLeft w:val="0"/>
                      <w:marRight w:val="0"/>
                      <w:marTop w:val="0"/>
                      <w:marBottom w:val="0"/>
                      <w:divBdr>
                        <w:top w:val="none" w:sz="0" w:space="0" w:color="auto"/>
                        <w:left w:val="none" w:sz="0" w:space="0" w:color="auto"/>
                        <w:bottom w:val="none" w:sz="0" w:space="0" w:color="auto"/>
                        <w:right w:val="none" w:sz="0" w:space="0" w:color="auto"/>
                      </w:divBdr>
                      <w:divsChild>
                        <w:div w:id="1004938823">
                          <w:marLeft w:val="0"/>
                          <w:marRight w:val="0"/>
                          <w:marTop w:val="75"/>
                          <w:marBottom w:val="0"/>
                          <w:divBdr>
                            <w:top w:val="none" w:sz="0" w:space="0" w:color="auto"/>
                            <w:left w:val="none" w:sz="0" w:space="0" w:color="auto"/>
                            <w:bottom w:val="none" w:sz="0" w:space="0" w:color="auto"/>
                            <w:right w:val="none" w:sz="0" w:space="0" w:color="auto"/>
                          </w:divBdr>
                        </w:div>
                        <w:div w:id="10049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8816">
                  <w:marLeft w:val="0"/>
                  <w:marRight w:val="0"/>
                  <w:marTop w:val="0"/>
                  <w:marBottom w:val="0"/>
                  <w:divBdr>
                    <w:top w:val="none" w:sz="0" w:space="0" w:color="auto"/>
                    <w:left w:val="none" w:sz="0" w:space="0" w:color="auto"/>
                    <w:bottom w:val="none" w:sz="0" w:space="0" w:color="auto"/>
                    <w:right w:val="none" w:sz="0" w:space="0" w:color="auto"/>
                  </w:divBdr>
                  <w:divsChild>
                    <w:div w:id="1004938843">
                      <w:marLeft w:val="0"/>
                      <w:marRight w:val="0"/>
                      <w:marTop w:val="0"/>
                      <w:marBottom w:val="0"/>
                      <w:divBdr>
                        <w:top w:val="none" w:sz="0" w:space="0" w:color="auto"/>
                        <w:left w:val="none" w:sz="0" w:space="0" w:color="auto"/>
                        <w:bottom w:val="none" w:sz="0" w:space="0" w:color="auto"/>
                        <w:right w:val="none" w:sz="0" w:space="0" w:color="auto"/>
                      </w:divBdr>
                      <w:divsChild>
                        <w:div w:id="1004938828">
                          <w:marLeft w:val="0"/>
                          <w:marRight w:val="0"/>
                          <w:marTop w:val="75"/>
                          <w:marBottom w:val="0"/>
                          <w:divBdr>
                            <w:top w:val="none" w:sz="0" w:space="0" w:color="auto"/>
                            <w:left w:val="none" w:sz="0" w:space="0" w:color="auto"/>
                            <w:bottom w:val="none" w:sz="0" w:space="0" w:color="auto"/>
                            <w:right w:val="none" w:sz="0" w:space="0" w:color="auto"/>
                          </w:divBdr>
                        </w:div>
                        <w:div w:id="10049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8818">
                  <w:marLeft w:val="0"/>
                  <w:marRight w:val="0"/>
                  <w:marTop w:val="0"/>
                  <w:marBottom w:val="0"/>
                  <w:divBdr>
                    <w:top w:val="none" w:sz="0" w:space="0" w:color="auto"/>
                    <w:left w:val="none" w:sz="0" w:space="0" w:color="auto"/>
                    <w:bottom w:val="none" w:sz="0" w:space="0" w:color="auto"/>
                    <w:right w:val="none" w:sz="0" w:space="0" w:color="auto"/>
                  </w:divBdr>
                  <w:divsChild>
                    <w:div w:id="1004938815">
                      <w:marLeft w:val="0"/>
                      <w:marRight w:val="0"/>
                      <w:marTop w:val="0"/>
                      <w:marBottom w:val="0"/>
                      <w:divBdr>
                        <w:top w:val="none" w:sz="0" w:space="0" w:color="auto"/>
                        <w:left w:val="none" w:sz="0" w:space="0" w:color="auto"/>
                        <w:bottom w:val="none" w:sz="0" w:space="0" w:color="auto"/>
                        <w:right w:val="none" w:sz="0" w:space="0" w:color="auto"/>
                      </w:divBdr>
                      <w:divsChild>
                        <w:div w:id="1004938836">
                          <w:marLeft w:val="0"/>
                          <w:marRight w:val="0"/>
                          <w:marTop w:val="0"/>
                          <w:marBottom w:val="0"/>
                          <w:divBdr>
                            <w:top w:val="none" w:sz="0" w:space="0" w:color="auto"/>
                            <w:left w:val="none" w:sz="0" w:space="0" w:color="auto"/>
                            <w:bottom w:val="none" w:sz="0" w:space="0" w:color="auto"/>
                            <w:right w:val="none" w:sz="0" w:space="0" w:color="auto"/>
                          </w:divBdr>
                          <w:divsChild>
                            <w:div w:id="10049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8835">
                  <w:marLeft w:val="0"/>
                  <w:marRight w:val="0"/>
                  <w:marTop w:val="0"/>
                  <w:marBottom w:val="0"/>
                  <w:divBdr>
                    <w:top w:val="none" w:sz="0" w:space="0" w:color="auto"/>
                    <w:left w:val="none" w:sz="0" w:space="0" w:color="auto"/>
                    <w:bottom w:val="none" w:sz="0" w:space="0" w:color="auto"/>
                    <w:right w:val="none" w:sz="0" w:space="0" w:color="auto"/>
                  </w:divBdr>
                  <w:divsChild>
                    <w:div w:id="1004938837">
                      <w:marLeft w:val="0"/>
                      <w:marRight w:val="0"/>
                      <w:marTop w:val="0"/>
                      <w:marBottom w:val="0"/>
                      <w:divBdr>
                        <w:top w:val="none" w:sz="0" w:space="0" w:color="auto"/>
                        <w:left w:val="none" w:sz="0" w:space="0" w:color="auto"/>
                        <w:bottom w:val="none" w:sz="0" w:space="0" w:color="auto"/>
                        <w:right w:val="none" w:sz="0" w:space="0" w:color="auto"/>
                      </w:divBdr>
                      <w:divsChild>
                        <w:div w:id="1004938811">
                          <w:marLeft w:val="0"/>
                          <w:marRight w:val="0"/>
                          <w:marTop w:val="0"/>
                          <w:marBottom w:val="0"/>
                          <w:divBdr>
                            <w:top w:val="none" w:sz="0" w:space="0" w:color="auto"/>
                            <w:left w:val="none" w:sz="0" w:space="0" w:color="auto"/>
                            <w:bottom w:val="none" w:sz="0" w:space="0" w:color="auto"/>
                            <w:right w:val="none" w:sz="0" w:space="0" w:color="auto"/>
                          </w:divBdr>
                        </w:div>
                        <w:div w:id="100493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stoppain.org/wp-admin/admin-ajax.php?ref_id=1774" TargetMode="External"/><Relationship Id="rId5" Type="http://schemas.openxmlformats.org/officeDocument/2006/relationships/hyperlink" Target="https://www.postoppain.org/sections/?p=1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Anmerkungen zu den von PROSPECT ausgesprochenen Empfehlungen</vt:lpstr>
    </vt:vector>
  </TitlesOfParts>
  <Company>UZ Leuven</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Anmerkungen zu den von PROSPECT ausgesprochenen Empfehlungen</dc:title>
  <dc:subject/>
  <dc:creator>Eline Michiels</dc:creator>
  <cp:keywords/>
  <dc:description/>
  <cp:lastModifiedBy>Stuart Forth</cp:lastModifiedBy>
  <cp:revision>2</cp:revision>
  <dcterms:created xsi:type="dcterms:W3CDTF">2018-11-30T11:16:00Z</dcterms:created>
  <dcterms:modified xsi:type="dcterms:W3CDTF">2018-11-30T11:16:00Z</dcterms:modified>
</cp:coreProperties>
</file>