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289" w:rsidRPr="000F041D" w:rsidRDefault="006D2289" w:rsidP="006D2289">
      <w:pPr>
        <w:spacing w:line="240" w:lineRule="auto"/>
        <w:rPr>
          <w:lang w:val="fr-FR"/>
        </w:rPr>
      </w:pPr>
      <w:r w:rsidRPr="000F041D">
        <w:rPr>
          <w:lang w:val="fr-FR"/>
        </w:rPr>
        <w:t xml:space="preserve">Notes sur les recommandations de PROSPECT </w:t>
      </w:r>
    </w:p>
    <w:p w:rsidR="006D2289" w:rsidRPr="000F041D" w:rsidRDefault="006D2289" w:rsidP="006D2289">
      <w:pPr>
        <w:spacing w:line="240" w:lineRule="auto"/>
        <w:rPr>
          <w:lang w:val="fr-FR"/>
        </w:rPr>
      </w:pPr>
      <w:r w:rsidRPr="000F041D">
        <w:rPr>
          <w:lang w:val="fr-FR"/>
        </w:rPr>
        <w:t xml:space="preserve">PROSPECT fournit aux </w:t>
      </w:r>
      <w:r w:rsidR="00D72554" w:rsidRPr="000F041D">
        <w:rPr>
          <w:lang w:val="fr-FR"/>
        </w:rPr>
        <w:t>médecins</w:t>
      </w:r>
      <w:r w:rsidRPr="000F041D">
        <w:rPr>
          <w:lang w:val="fr-FR"/>
        </w:rPr>
        <w:t xml:space="preserve"> un argumentaire en faveur et contre les différentes interventions en matière de douleur postopératoire, </w:t>
      </w:r>
      <w:r w:rsidR="004D4A04" w:rsidRPr="000F041D">
        <w:rPr>
          <w:lang w:val="fr-FR"/>
        </w:rPr>
        <w:t xml:space="preserve">en se basant sur </w:t>
      </w:r>
      <w:r w:rsidRPr="000F041D">
        <w:rPr>
          <w:lang w:val="fr-FR"/>
        </w:rPr>
        <w:t>de</w:t>
      </w:r>
      <w:r w:rsidR="00EC05E8" w:rsidRPr="000F041D">
        <w:rPr>
          <w:lang w:val="fr-FR"/>
        </w:rPr>
        <w:t xml:space="preserve">s preuves </w:t>
      </w:r>
      <w:r w:rsidRPr="000F041D">
        <w:rPr>
          <w:lang w:val="fr-FR"/>
        </w:rPr>
        <w:t>publiées et d</w:t>
      </w:r>
      <w:r w:rsidR="00EC05E8" w:rsidRPr="000F041D">
        <w:rPr>
          <w:lang w:val="fr-FR"/>
        </w:rPr>
        <w:t xml:space="preserve">es </w:t>
      </w:r>
      <w:r w:rsidR="004D4A04" w:rsidRPr="000F041D">
        <w:rPr>
          <w:lang w:val="fr-FR"/>
        </w:rPr>
        <w:t>opinions d’</w:t>
      </w:r>
      <w:r w:rsidRPr="000F041D">
        <w:rPr>
          <w:lang w:val="fr-FR"/>
        </w:rPr>
        <w:t xml:space="preserve">experts. Les </w:t>
      </w:r>
      <w:r w:rsidR="004D4A04" w:rsidRPr="000F041D">
        <w:rPr>
          <w:lang w:val="fr-FR"/>
        </w:rPr>
        <w:t>médecins</w:t>
      </w:r>
      <w:r w:rsidRPr="000F041D">
        <w:rPr>
          <w:lang w:val="fr-FR"/>
        </w:rPr>
        <w:t xml:space="preserve"> doivent </w:t>
      </w:r>
      <w:r w:rsidR="00E1637C" w:rsidRPr="000F041D">
        <w:rPr>
          <w:lang w:val="fr-FR"/>
        </w:rPr>
        <w:t xml:space="preserve">porter des jugements fondés sur les circonstances cliniques et les réglementations locales. À tout moment, </w:t>
      </w:r>
      <w:r w:rsidR="00721F4C" w:rsidRPr="000F041D">
        <w:rPr>
          <w:lang w:val="fr-FR"/>
        </w:rPr>
        <w:t xml:space="preserve">il convient de consulter les informations </w:t>
      </w:r>
      <w:r w:rsidR="009D4F1C" w:rsidRPr="000F041D">
        <w:rPr>
          <w:lang w:val="fr-FR"/>
        </w:rPr>
        <w:t>posologiques</w:t>
      </w:r>
      <w:r w:rsidR="00721F4C" w:rsidRPr="000F041D">
        <w:rPr>
          <w:lang w:val="fr-FR"/>
        </w:rPr>
        <w:t xml:space="preserve"> locales pour les médicaments mentionnés.</w:t>
      </w:r>
      <w:r w:rsidR="009D4F1C" w:rsidRPr="000F041D">
        <w:rPr>
          <w:lang w:val="fr-FR"/>
        </w:rPr>
        <w:t xml:space="preserve"> Les grades</w:t>
      </w:r>
      <w:r w:rsidR="00AB4D8A" w:rsidRPr="000F041D">
        <w:rPr>
          <w:lang w:val="fr-FR"/>
        </w:rPr>
        <w:t xml:space="preserve"> de</w:t>
      </w:r>
      <w:r w:rsidR="00EC05E8" w:rsidRPr="000F041D">
        <w:rPr>
          <w:lang w:val="fr-FR"/>
        </w:rPr>
        <w:t>s</w:t>
      </w:r>
      <w:r w:rsidR="00AB4D8A" w:rsidRPr="000F041D">
        <w:rPr>
          <w:lang w:val="fr-FR"/>
        </w:rPr>
        <w:t xml:space="preserve"> recommandation</w:t>
      </w:r>
      <w:r w:rsidR="00EC05E8" w:rsidRPr="000F041D">
        <w:rPr>
          <w:lang w:val="fr-FR"/>
        </w:rPr>
        <w:t>s</w:t>
      </w:r>
      <w:r w:rsidR="00AB4D8A" w:rsidRPr="000F041D">
        <w:rPr>
          <w:lang w:val="fr-FR"/>
        </w:rPr>
        <w:t xml:space="preserve"> (GdR) sont attribués en fonction du niveau de preuve (NdP) global</w:t>
      </w:r>
      <w:r w:rsidR="008959D9" w:rsidRPr="000F041D">
        <w:rPr>
          <w:lang w:val="fr-FR"/>
        </w:rPr>
        <w:t xml:space="preserve"> sur lequel les recommandations sont basées, ce qui est déterminé par la qualité et la source </w:t>
      </w:r>
      <w:r w:rsidR="00282934" w:rsidRPr="000F041D">
        <w:rPr>
          <w:lang w:val="fr-FR"/>
        </w:rPr>
        <w:t>de la preuve.</w:t>
      </w:r>
    </w:p>
    <w:p w:rsidR="00E27362" w:rsidRPr="000F041D" w:rsidRDefault="00E27362" w:rsidP="00321116">
      <w:pPr>
        <w:spacing w:line="240" w:lineRule="auto"/>
        <w:rPr>
          <w:lang w:val="fr-FR"/>
        </w:rPr>
      </w:pPr>
      <w:r w:rsidRPr="000F041D">
        <w:rPr>
          <w:lang w:val="fr-FR"/>
        </w:rPr>
        <w:br/>
      </w:r>
      <w:r w:rsidRPr="000F041D">
        <w:rPr>
          <w:b/>
          <w:bCs/>
          <w:lang w:val="fr-FR"/>
        </w:rPr>
        <w:t xml:space="preserve">Grades </w:t>
      </w:r>
      <w:r w:rsidR="00EC05E8" w:rsidRPr="000F041D">
        <w:rPr>
          <w:b/>
          <w:bCs/>
          <w:lang w:val="fr-FR"/>
        </w:rPr>
        <w:t>des</w:t>
      </w:r>
      <w:r w:rsidRPr="000F041D">
        <w:rPr>
          <w:b/>
          <w:bCs/>
          <w:lang w:val="fr-FR"/>
        </w:rPr>
        <w:t xml:space="preserve"> recomm</w:t>
      </w:r>
      <w:r w:rsidR="00EC05E8" w:rsidRPr="000F041D">
        <w:rPr>
          <w:b/>
          <w:bCs/>
          <w:lang w:val="fr-FR"/>
        </w:rPr>
        <w:t>a</w:t>
      </w:r>
      <w:r w:rsidRPr="000F041D">
        <w:rPr>
          <w:b/>
          <w:bCs/>
          <w:lang w:val="fr-FR"/>
        </w:rPr>
        <w:t>ndation</w:t>
      </w:r>
      <w:r w:rsidR="00EC05E8" w:rsidRPr="000F041D">
        <w:rPr>
          <w:b/>
          <w:bCs/>
          <w:lang w:val="fr-FR"/>
        </w:rPr>
        <w:t>s</w:t>
      </w:r>
      <w:r w:rsidRPr="000F041D">
        <w:rPr>
          <w:b/>
          <w:bCs/>
          <w:lang w:val="fr-FR"/>
        </w:rPr>
        <w:t xml:space="preserve"> (G</w:t>
      </w:r>
      <w:r w:rsidR="00EC05E8" w:rsidRPr="000F041D">
        <w:rPr>
          <w:b/>
          <w:bCs/>
          <w:lang w:val="fr-FR"/>
        </w:rPr>
        <w:t>d</w:t>
      </w:r>
      <w:r w:rsidRPr="000F041D">
        <w:rPr>
          <w:b/>
          <w:bCs/>
          <w:lang w:val="fr-FR"/>
        </w:rPr>
        <w:t xml:space="preserve">R) </w:t>
      </w:r>
      <w:r w:rsidR="00EC05E8" w:rsidRPr="000F041D">
        <w:rPr>
          <w:b/>
          <w:bCs/>
          <w:lang w:val="fr-FR"/>
        </w:rPr>
        <w:t>basés sur la</w:t>
      </w:r>
      <w:r w:rsidRPr="000F041D">
        <w:rPr>
          <w:b/>
          <w:bCs/>
          <w:lang w:val="fr-FR"/>
        </w:rPr>
        <w:t xml:space="preserve"> source </w:t>
      </w:r>
      <w:r w:rsidR="00EC05E8" w:rsidRPr="000F041D">
        <w:rPr>
          <w:b/>
          <w:bCs/>
          <w:lang w:val="fr-FR"/>
        </w:rPr>
        <w:t>et le niveau de preuve</w:t>
      </w:r>
      <w:r w:rsidRPr="000F041D">
        <w:rPr>
          <w:b/>
          <w:bCs/>
          <w:lang w:val="fr-FR"/>
        </w:rPr>
        <w:t xml:space="preserve"> (</w:t>
      </w:r>
      <w:r w:rsidR="00EC05E8" w:rsidRPr="000F041D">
        <w:rPr>
          <w:b/>
          <w:bCs/>
          <w:lang w:val="fr-FR"/>
        </w:rPr>
        <w:t>NdP</w:t>
      </w:r>
      <w:r w:rsidRPr="000F041D">
        <w:rPr>
          <w:b/>
          <w:bCs/>
          <w:lang w:val="fr-FR"/>
        </w:rPr>
        <w:t>)</w:t>
      </w:r>
      <w:r w:rsidR="00EC05E8" w:rsidRPr="000F041D">
        <w:rPr>
          <w:b/>
          <w:bCs/>
          <w:lang w:val="fr-FR"/>
        </w:rPr>
        <w:t> </w:t>
      </w:r>
      <w:r w:rsidRPr="000F041D">
        <w:rPr>
          <w:b/>
          <w:bCs/>
          <w:lang w:val="fr-FR"/>
        </w:rPr>
        <w:t>: table</w:t>
      </w:r>
      <w:r w:rsidR="00EC05E8" w:rsidRPr="000F041D">
        <w:rPr>
          <w:b/>
          <w:bCs/>
          <w:lang w:val="fr-FR"/>
        </w:rPr>
        <w:t>au récapitulatif</w:t>
      </w:r>
      <w:r w:rsidRPr="000F041D">
        <w:rPr>
          <w:lang w:val="fr-FR"/>
        </w:rPr>
        <w:br/>
      </w:r>
      <w:r w:rsidRPr="000F041D">
        <w:rPr>
          <w:lang w:val="fr-FR"/>
        </w:rPr>
        <w:br/>
      </w:r>
      <w:r w:rsidRPr="000F041D">
        <w:rPr>
          <w:noProof/>
          <w:lang w:val="fr-FR" w:eastAsia="fr-FR"/>
        </w:rPr>
        <w:drawing>
          <wp:inline distT="0" distB="0" distL="0" distR="0">
            <wp:extent cx="4876800" cy="3600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41D">
        <w:rPr>
          <w:lang w:val="fr-FR"/>
        </w:rPr>
        <w:br/>
      </w:r>
      <w:r w:rsidRPr="000F041D">
        <w:rPr>
          <w:lang w:val="fr-FR"/>
        </w:rPr>
        <w:br/>
      </w:r>
      <w:r w:rsidR="00004A64" w:rsidRPr="000F041D">
        <w:rPr>
          <w:lang w:val="fr-FR"/>
        </w:rPr>
        <w:t>La</w:t>
      </w:r>
      <w:r w:rsidR="00BA4680" w:rsidRPr="000F041D">
        <w:rPr>
          <w:lang w:val="fr-FR"/>
        </w:rPr>
        <w:t xml:space="preserve"> manière dont les évaluations de qualité des études </w:t>
      </w:r>
      <w:r w:rsidR="00321116" w:rsidRPr="000F041D">
        <w:rPr>
          <w:lang w:val="fr-FR"/>
        </w:rPr>
        <w:t xml:space="preserve">sont effectuées </w:t>
      </w:r>
      <w:r w:rsidR="00BA4680" w:rsidRPr="000F041D">
        <w:rPr>
          <w:lang w:val="fr-FR"/>
        </w:rPr>
        <w:t>pour déterminer le NdP et le GdR</w:t>
      </w:r>
      <w:r w:rsidR="00004A64" w:rsidRPr="000F041D">
        <w:rPr>
          <w:lang w:val="fr-FR"/>
        </w:rPr>
        <w:t xml:space="preserve"> est expliquée dans le lien suivant</w:t>
      </w:r>
      <w:r w:rsidR="00321116" w:rsidRPr="000F041D">
        <w:rPr>
          <w:lang w:val="fr-FR"/>
        </w:rPr>
        <w:t xml:space="preserve"> : </w:t>
      </w:r>
      <w:hyperlink r:id="rId6" w:history="1">
        <w:r w:rsidRPr="000F041D">
          <w:rPr>
            <w:rStyle w:val="Lienhypertexte"/>
            <w:lang w:val="fr-FR"/>
          </w:rPr>
          <w:t>C</w:t>
        </w:r>
        <w:r w:rsidR="00746B47" w:rsidRPr="000F041D">
          <w:rPr>
            <w:rStyle w:val="Lienhypertexte"/>
            <w:lang w:val="fr-FR"/>
          </w:rPr>
          <w:t>ésarienne </w:t>
        </w:r>
        <w:r w:rsidRPr="000F041D">
          <w:rPr>
            <w:rStyle w:val="Lienhypertexte"/>
            <w:lang w:val="fr-FR"/>
          </w:rPr>
          <w:t xml:space="preserve">: </w:t>
        </w:r>
        <w:r w:rsidR="00746B47" w:rsidRPr="000F041D">
          <w:rPr>
            <w:rStyle w:val="Lienhypertexte"/>
            <w:lang w:val="fr-FR"/>
          </w:rPr>
          <w:t xml:space="preserve">niveaux de preuve et </w:t>
        </w:r>
        <w:r w:rsidRPr="000F041D">
          <w:rPr>
            <w:rStyle w:val="Lienhypertexte"/>
            <w:lang w:val="fr-FR"/>
          </w:rPr>
          <w:t xml:space="preserve">grades </w:t>
        </w:r>
        <w:r w:rsidR="00746B47" w:rsidRPr="000F041D">
          <w:rPr>
            <w:rStyle w:val="Lienhypertexte"/>
            <w:lang w:val="fr-FR"/>
          </w:rPr>
          <w:t>des</w:t>
        </w:r>
        <w:r w:rsidRPr="000F041D">
          <w:rPr>
            <w:rStyle w:val="Lienhypertexte"/>
            <w:lang w:val="fr-FR"/>
          </w:rPr>
          <w:t xml:space="preserve"> recomm</w:t>
        </w:r>
        <w:r w:rsidR="00746B47" w:rsidRPr="000F041D">
          <w:rPr>
            <w:rStyle w:val="Lienhypertexte"/>
            <w:lang w:val="fr-FR"/>
          </w:rPr>
          <w:t>a</w:t>
        </w:r>
        <w:r w:rsidRPr="000F041D">
          <w:rPr>
            <w:rStyle w:val="Lienhypertexte"/>
            <w:lang w:val="fr-FR"/>
          </w:rPr>
          <w:t>ndation</w:t>
        </w:r>
      </w:hyperlink>
      <w:r w:rsidR="00746B47" w:rsidRPr="000F041D">
        <w:rPr>
          <w:rStyle w:val="Lienhypertexte"/>
          <w:lang w:val="fr-FR"/>
        </w:rPr>
        <w:t>s</w:t>
      </w:r>
      <w:r w:rsidRPr="000F041D">
        <w:rPr>
          <w:rStyle w:val="Lienhypertexte"/>
          <w:lang w:val="fr-FR"/>
        </w:rPr>
        <w:t>.</w:t>
      </w:r>
      <w:r w:rsidRPr="000F041D">
        <w:rPr>
          <w:lang w:val="fr-FR"/>
        </w:rPr>
        <w:br/>
      </w:r>
      <w:r w:rsidRPr="000F041D">
        <w:rPr>
          <w:lang w:val="fr-FR"/>
        </w:rPr>
        <w:br/>
      </w:r>
      <w:r w:rsidR="005E5C13" w:rsidRPr="000F041D">
        <w:rPr>
          <w:lang w:val="fr-FR"/>
        </w:rPr>
        <w:t>La grille</w:t>
      </w:r>
      <w:r w:rsidRPr="000F041D">
        <w:rPr>
          <w:lang w:val="fr-FR"/>
        </w:rPr>
        <w:t xml:space="preserve"> AGREE II (</w:t>
      </w:r>
      <w:hyperlink r:id="rId7" w:history="1">
        <w:r w:rsidRPr="000F041D">
          <w:rPr>
            <w:rStyle w:val="Lienhypertexte"/>
            <w:lang w:val="fr-FR"/>
          </w:rPr>
          <w:t>Brouwers 2010</w:t>
        </w:r>
      </w:hyperlink>
      <w:r w:rsidRPr="000F041D">
        <w:rPr>
          <w:lang w:val="fr-FR"/>
        </w:rPr>
        <w:t xml:space="preserve">) </w:t>
      </w:r>
      <w:r w:rsidR="005E5C13" w:rsidRPr="000F041D">
        <w:rPr>
          <w:lang w:val="fr-FR"/>
        </w:rPr>
        <w:t>est utilisée à l’échelle</w:t>
      </w:r>
      <w:r w:rsidRPr="000F041D">
        <w:rPr>
          <w:lang w:val="fr-FR"/>
        </w:rPr>
        <w:t xml:space="preserve"> internation</w:t>
      </w:r>
      <w:r w:rsidR="005E5C13" w:rsidRPr="000F041D">
        <w:rPr>
          <w:lang w:val="fr-FR"/>
        </w:rPr>
        <w:t xml:space="preserve">ale pour évaluer la rigueur </w:t>
      </w:r>
      <w:r w:rsidRPr="000F041D">
        <w:rPr>
          <w:lang w:val="fr-FR"/>
        </w:rPr>
        <w:t>m</w:t>
      </w:r>
      <w:r w:rsidR="005E5C13" w:rsidRPr="000F041D">
        <w:rPr>
          <w:lang w:val="fr-FR"/>
        </w:rPr>
        <w:t>é</w:t>
      </w:r>
      <w:r w:rsidRPr="000F041D">
        <w:rPr>
          <w:lang w:val="fr-FR"/>
        </w:rPr>
        <w:t>thodologi</w:t>
      </w:r>
      <w:r w:rsidR="005E5C13" w:rsidRPr="000F041D">
        <w:rPr>
          <w:lang w:val="fr-FR"/>
        </w:rPr>
        <w:t>que et la</w:t>
      </w:r>
      <w:r w:rsidRPr="000F041D">
        <w:rPr>
          <w:lang w:val="fr-FR"/>
        </w:rPr>
        <w:t xml:space="preserve"> transpar</w:t>
      </w:r>
      <w:r w:rsidR="005E5C13" w:rsidRPr="000F041D">
        <w:rPr>
          <w:lang w:val="fr-FR"/>
        </w:rPr>
        <w:t>e</w:t>
      </w:r>
      <w:r w:rsidRPr="000F041D">
        <w:rPr>
          <w:lang w:val="fr-FR"/>
        </w:rPr>
        <w:t>nc</w:t>
      </w:r>
      <w:r w:rsidR="005E5C13" w:rsidRPr="000F041D">
        <w:rPr>
          <w:lang w:val="fr-FR"/>
        </w:rPr>
        <w:t>e</w:t>
      </w:r>
      <w:r w:rsidR="00004A64" w:rsidRPr="000F041D">
        <w:rPr>
          <w:lang w:val="fr-FR"/>
        </w:rPr>
        <w:t xml:space="preserve"> </w:t>
      </w:r>
      <w:r w:rsidR="005E5C13" w:rsidRPr="000F041D">
        <w:rPr>
          <w:lang w:val="fr-FR"/>
        </w:rPr>
        <w:t>des</w:t>
      </w:r>
      <w:r w:rsidR="00004A64" w:rsidRPr="000F041D">
        <w:rPr>
          <w:lang w:val="fr-FR"/>
        </w:rPr>
        <w:t xml:space="preserve"> </w:t>
      </w:r>
      <w:r w:rsidR="00AC636B" w:rsidRPr="000F041D">
        <w:rPr>
          <w:lang w:val="fr-FR"/>
        </w:rPr>
        <w:t>recommandations pour la pratique clinique (</w:t>
      </w:r>
      <w:r w:rsidR="0091051E" w:rsidRPr="000F041D">
        <w:rPr>
          <w:lang w:val="fr-FR"/>
        </w:rPr>
        <w:t>RPC</w:t>
      </w:r>
      <w:r w:rsidR="00AC636B" w:rsidRPr="000F041D">
        <w:rPr>
          <w:lang w:val="fr-FR"/>
        </w:rPr>
        <w:t>)</w:t>
      </w:r>
      <w:r w:rsidRPr="000F041D">
        <w:rPr>
          <w:lang w:val="fr-FR"/>
        </w:rPr>
        <w:t xml:space="preserve">. </w:t>
      </w:r>
      <w:r w:rsidR="005E5C13" w:rsidRPr="000F041D">
        <w:rPr>
          <w:lang w:val="fr-FR"/>
        </w:rPr>
        <w:t>Dans la mesure du</w:t>
      </w:r>
      <w:r w:rsidRPr="000F041D">
        <w:rPr>
          <w:lang w:val="fr-FR"/>
        </w:rPr>
        <w:t xml:space="preserve"> possible, </w:t>
      </w:r>
      <w:r w:rsidR="005E5C13" w:rsidRPr="000F041D">
        <w:rPr>
          <w:lang w:val="fr-FR"/>
        </w:rPr>
        <w:t>la méthodologie d’évaluation des césariennes de</w:t>
      </w:r>
      <w:r w:rsidRPr="000F041D">
        <w:rPr>
          <w:lang w:val="fr-FR"/>
        </w:rPr>
        <w:t xml:space="preserve"> PROSPECT </w:t>
      </w:r>
      <w:r w:rsidR="005E5C13" w:rsidRPr="000F041D">
        <w:rPr>
          <w:lang w:val="fr-FR"/>
        </w:rPr>
        <w:t>répond aux exigences du « </w:t>
      </w:r>
      <w:r w:rsidRPr="000F041D">
        <w:rPr>
          <w:lang w:val="fr-FR"/>
        </w:rPr>
        <w:t>Domain</w:t>
      </w:r>
      <w:r w:rsidR="005E5C13" w:rsidRPr="000F041D">
        <w:rPr>
          <w:lang w:val="fr-FR"/>
        </w:rPr>
        <w:t>e</w:t>
      </w:r>
      <w:r w:rsidRPr="000F041D">
        <w:rPr>
          <w:lang w:val="fr-FR"/>
        </w:rPr>
        <w:t xml:space="preserve"> 3</w:t>
      </w:r>
      <w:r w:rsidR="00660CAE" w:rsidRPr="000F041D">
        <w:rPr>
          <w:lang w:val="fr-FR"/>
        </w:rPr>
        <w:t> </w:t>
      </w:r>
      <w:r w:rsidRPr="000F041D">
        <w:rPr>
          <w:lang w:val="fr-FR"/>
        </w:rPr>
        <w:t xml:space="preserve">: </w:t>
      </w:r>
      <w:r w:rsidR="005C770B" w:rsidRPr="000F041D">
        <w:rPr>
          <w:lang w:val="fr-FR"/>
        </w:rPr>
        <w:t>R</w:t>
      </w:r>
      <w:r w:rsidR="00660CAE" w:rsidRPr="000F041D">
        <w:rPr>
          <w:lang w:val="fr-FR"/>
        </w:rPr>
        <w:t>igueur d’élaboration »</w:t>
      </w:r>
      <w:r w:rsidR="00004A64" w:rsidRPr="000F041D">
        <w:rPr>
          <w:lang w:val="fr-FR"/>
        </w:rPr>
        <w:t xml:space="preserve"> </w:t>
      </w:r>
      <w:r w:rsidR="005E5C13" w:rsidRPr="000F041D">
        <w:rPr>
          <w:lang w:val="fr-FR"/>
        </w:rPr>
        <w:t>de la grille</w:t>
      </w:r>
      <w:r w:rsidRPr="000F041D">
        <w:rPr>
          <w:lang w:val="fr-FR"/>
        </w:rPr>
        <w:t xml:space="preserve"> AGREE II</w:t>
      </w:r>
      <w:r w:rsidR="005E5C13" w:rsidRPr="000F041D">
        <w:rPr>
          <w:lang w:val="fr-FR"/>
        </w:rPr>
        <w:t> </w:t>
      </w:r>
      <w:r w:rsidRPr="000F041D">
        <w:rPr>
          <w:lang w:val="fr-FR"/>
        </w:rPr>
        <w:t>:</w:t>
      </w:r>
    </w:p>
    <w:p w:rsidR="00E27362" w:rsidRPr="000F041D" w:rsidRDefault="00621C26" w:rsidP="00E27362">
      <w:pPr>
        <w:numPr>
          <w:ilvl w:val="0"/>
          <w:numId w:val="1"/>
        </w:numPr>
        <w:spacing w:line="240" w:lineRule="auto"/>
        <w:rPr>
          <w:lang w:val="fr-FR"/>
        </w:rPr>
      </w:pPr>
      <w:r w:rsidRPr="000F041D">
        <w:rPr>
          <w:lang w:val="fr-FR"/>
        </w:rPr>
        <w:t>Des méthodes systématiques ont été utilisées pour rechercher les preuves scientifiques</w:t>
      </w:r>
      <w:r w:rsidR="00E27362" w:rsidRPr="000F041D">
        <w:rPr>
          <w:lang w:val="fr-FR"/>
        </w:rPr>
        <w:t>.</w:t>
      </w:r>
    </w:p>
    <w:p w:rsidR="00E27362" w:rsidRPr="000F041D" w:rsidRDefault="0091051E" w:rsidP="00E27362">
      <w:pPr>
        <w:numPr>
          <w:ilvl w:val="0"/>
          <w:numId w:val="1"/>
        </w:numPr>
        <w:spacing w:line="240" w:lineRule="auto"/>
        <w:rPr>
          <w:lang w:val="fr-FR"/>
        </w:rPr>
      </w:pPr>
      <w:r w:rsidRPr="000F041D">
        <w:rPr>
          <w:lang w:val="fr-FR"/>
        </w:rPr>
        <w:t>Les critères de sélection des preuves sont clairement décrits</w:t>
      </w:r>
      <w:r w:rsidR="00E27362" w:rsidRPr="000F041D">
        <w:rPr>
          <w:lang w:val="fr-FR"/>
        </w:rPr>
        <w:t>.</w:t>
      </w:r>
    </w:p>
    <w:p w:rsidR="00E27362" w:rsidRPr="000F041D" w:rsidRDefault="0091051E" w:rsidP="00E27362">
      <w:pPr>
        <w:numPr>
          <w:ilvl w:val="0"/>
          <w:numId w:val="1"/>
        </w:numPr>
        <w:spacing w:line="240" w:lineRule="auto"/>
        <w:rPr>
          <w:lang w:val="fr-FR"/>
        </w:rPr>
      </w:pPr>
      <w:r w:rsidRPr="000F041D">
        <w:rPr>
          <w:lang w:val="fr-FR"/>
        </w:rPr>
        <w:t>Les forces et les limites des preuves scientifiques sont clairement définies</w:t>
      </w:r>
      <w:r w:rsidR="00E27362" w:rsidRPr="000F041D">
        <w:rPr>
          <w:lang w:val="fr-FR"/>
        </w:rPr>
        <w:t>.</w:t>
      </w:r>
    </w:p>
    <w:p w:rsidR="00E27362" w:rsidRPr="000F041D" w:rsidRDefault="0091051E" w:rsidP="00E27362">
      <w:pPr>
        <w:numPr>
          <w:ilvl w:val="0"/>
          <w:numId w:val="1"/>
        </w:numPr>
        <w:spacing w:line="240" w:lineRule="auto"/>
        <w:rPr>
          <w:lang w:val="fr-FR"/>
        </w:rPr>
      </w:pPr>
      <w:r w:rsidRPr="000F041D">
        <w:rPr>
          <w:lang w:val="fr-FR"/>
        </w:rPr>
        <w:t>Les méthodes utilisées pour formuler les recommandations sont clairement décrites</w:t>
      </w:r>
      <w:r w:rsidR="00E27362" w:rsidRPr="000F041D">
        <w:rPr>
          <w:lang w:val="fr-FR"/>
        </w:rPr>
        <w:t>.</w:t>
      </w:r>
    </w:p>
    <w:p w:rsidR="00E27362" w:rsidRPr="000F041D" w:rsidRDefault="0091051E" w:rsidP="00E27362">
      <w:pPr>
        <w:numPr>
          <w:ilvl w:val="0"/>
          <w:numId w:val="1"/>
        </w:numPr>
        <w:spacing w:line="240" w:lineRule="auto"/>
        <w:rPr>
          <w:lang w:val="fr-FR"/>
        </w:rPr>
      </w:pPr>
      <w:r w:rsidRPr="000F041D">
        <w:rPr>
          <w:lang w:val="fr-FR"/>
        </w:rPr>
        <w:lastRenderedPageBreak/>
        <w:t>Les bénéfices, les effets secondaires et les risques en termes de santé ont été pris en considération dans la formulation des recommandations</w:t>
      </w:r>
      <w:r w:rsidR="00E27362" w:rsidRPr="000F041D">
        <w:rPr>
          <w:lang w:val="fr-FR"/>
        </w:rPr>
        <w:t>.</w:t>
      </w:r>
    </w:p>
    <w:p w:rsidR="00E27362" w:rsidRPr="000F041D" w:rsidRDefault="00A5723E" w:rsidP="00E27362">
      <w:pPr>
        <w:numPr>
          <w:ilvl w:val="0"/>
          <w:numId w:val="1"/>
        </w:numPr>
        <w:spacing w:line="240" w:lineRule="auto"/>
        <w:rPr>
          <w:lang w:val="fr-FR"/>
        </w:rPr>
      </w:pPr>
      <w:r w:rsidRPr="000F041D">
        <w:rPr>
          <w:lang w:val="fr-FR"/>
        </w:rPr>
        <w:t>Il y a un lien explicite entre les recommandations et les preuves scientifiques sur lesquelles elles reposent.</w:t>
      </w:r>
    </w:p>
    <w:p w:rsidR="00E27362" w:rsidRPr="000F041D" w:rsidRDefault="00AC636B" w:rsidP="00E27362">
      <w:pPr>
        <w:numPr>
          <w:ilvl w:val="0"/>
          <w:numId w:val="1"/>
        </w:numPr>
        <w:spacing w:line="240" w:lineRule="auto"/>
        <w:rPr>
          <w:lang w:val="fr-FR"/>
        </w:rPr>
      </w:pPr>
      <w:r w:rsidRPr="000F041D">
        <w:rPr>
          <w:lang w:val="fr-FR"/>
        </w:rPr>
        <w:t>La RPC a été revue par des experts externes avant sa publication</w:t>
      </w:r>
      <w:r w:rsidR="00E27362" w:rsidRPr="000F041D">
        <w:rPr>
          <w:lang w:val="fr-FR"/>
        </w:rPr>
        <w:t>. [</w:t>
      </w:r>
      <w:r w:rsidR="00A00C3A" w:rsidRPr="000F041D">
        <w:rPr>
          <w:lang w:val="fr-FR"/>
        </w:rPr>
        <w:t>La preuve et les</w:t>
      </w:r>
      <w:r w:rsidR="00E27362" w:rsidRPr="000F041D">
        <w:rPr>
          <w:lang w:val="fr-FR"/>
        </w:rPr>
        <w:t xml:space="preserve"> recomm</w:t>
      </w:r>
      <w:r w:rsidR="00A00C3A" w:rsidRPr="000F041D">
        <w:rPr>
          <w:lang w:val="fr-FR"/>
        </w:rPr>
        <w:t>a</w:t>
      </w:r>
      <w:r w:rsidR="00E27362" w:rsidRPr="000F041D">
        <w:rPr>
          <w:lang w:val="fr-FR"/>
        </w:rPr>
        <w:t xml:space="preserve">ndations </w:t>
      </w:r>
      <w:r w:rsidR="00A00C3A" w:rsidRPr="000F041D">
        <w:rPr>
          <w:lang w:val="fr-FR"/>
        </w:rPr>
        <w:t xml:space="preserve">seront soumises </w:t>
      </w:r>
      <w:r w:rsidR="00004A64" w:rsidRPr="000F041D">
        <w:rPr>
          <w:lang w:val="fr-FR"/>
        </w:rPr>
        <w:t>aux fins d’</w:t>
      </w:r>
      <w:r w:rsidR="00A00C3A" w:rsidRPr="000F041D">
        <w:rPr>
          <w:lang w:val="fr-FR"/>
        </w:rPr>
        <w:t>une évaluation par des pairs après</w:t>
      </w:r>
      <w:r w:rsidR="00E27362" w:rsidRPr="000F041D">
        <w:rPr>
          <w:lang w:val="fr-FR"/>
        </w:rPr>
        <w:t xml:space="preserve"> publication </w:t>
      </w:r>
      <w:r w:rsidR="00A00C3A" w:rsidRPr="000F041D">
        <w:rPr>
          <w:lang w:val="fr-FR"/>
        </w:rPr>
        <w:t>sur le site web de</w:t>
      </w:r>
      <w:r w:rsidR="00E27362" w:rsidRPr="000F041D">
        <w:rPr>
          <w:lang w:val="fr-FR"/>
        </w:rPr>
        <w:t xml:space="preserve"> PROSPECT]</w:t>
      </w:r>
    </w:p>
    <w:p w:rsidR="00E27362" w:rsidRPr="000F041D" w:rsidRDefault="00AC636B" w:rsidP="00E27362">
      <w:pPr>
        <w:numPr>
          <w:ilvl w:val="0"/>
          <w:numId w:val="1"/>
        </w:numPr>
        <w:spacing w:line="240" w:lineRule="auto"/>
        <w:rPr>
          <w:lang w:val="fr-FR"/>
        </w:rPr>
      </w:pPr>
      <w:r w:rsidRPr="000F041D">
        <w:rPr>
          <w:lang w:val="fr-FR"/>
        </w:rPr>
        <w:t>Une procédure d’actualisation de la RPC est décrite</w:t>
      </w:r>
      <w:r w:rsidR="00E27362" w:rsidRPr="000F041D">
        <w:rPr>
          <w:lang w:val="fr-FR"/>
        </w:rPr>
        <w:t>. [</w:t>
      </w:r>
      <w:r w:rsidRPr="000F041D">
        <w:rPr>
          <w:lang w:val="fr-FR"/>
        </w:rPr>
        <w:t xml:space="preserve">La méthodologie est fournie afin que la revue </w:t>
      </w:r>
      <w:r w:rsidR="00E27362" w:rsidRPr="000F041D">
        <w:rPr>
          <w:lang w:val="fr-FR"/>
        </w:rPr>
        <w:t>syst</w:t>
      </w:r>
      <w:r w:rsidRPr="000F041D">
        <w:rPr>
          <w:lang w:val="fr-FR"/>
        </w:rPr>
        <w:t>é</w:t>
      </w:r>
      <w:r w:rsidR="00E27362" w:rsidRPr="000F041D">
        <w:rPr>
          <w:lang w:val="fr-FR"/>
        </w:rPr>
        <w:t>mati</w:t>
      </w:r>
      <w:r w:rsidRPr="000F041D">
        <w:rPr>
          <w:lang w:val="fr-FR"/>
        </w:rPr>
        <w:t>que puisse être actualisée</w:t>
      </w:r>
      <w:r w:rsidR="00CD0601" w:rsidRPr="000F041D">
        <w:rPr>
          <w:lang w:val="fr-FR"/>
        </w:rPr>
        <w:t xml:space="preserve"> tel que requis</w:t>
      </w:r>
      <w:r w:rsidR="00E27362" w:rsidRPr="000F041D">
        <w:rPr>
          <w:lang w:val="fr-FR"/>
        </w:rPr>
        <w:t>]</w:t>
      </w:r>
    </w:p>
    <w:p w:rsidR="00E27362" w:rsidRPr="000F041D" w:rsidRDefault="00E27362" w:rsidP="00E27362">
      <w:pPr>
        <w:spacing w:line="240" w:lineRule="auto"/>
        <w:rPr>
          <w:lang w:val="fr-FR"/>
        </w:rPr>
      </w:pPr>
    </w:p>
    <w:p w:rsidR="00E27362" w:rsidRPr="000F041D" w:rsidRDefault="00A00C3A" w:rsidP="00E27362">
      <w:pPr>
        <w:spacing w:line="240" w:lineRule="auto"/>
        <w:rPr>
          <w:lang w:val="fr-FR"/>
        </w:rPr>
      </w:pPr>
      <w:r w:rsidRPr="000F041D">
        <w:rPr>
          <w:lang w:val="fr-FR"/>
        </w:rPr>
        <w:t>Résumé des</w:t>
      </w:r>
      <w:r w:rsidR="00E27362" w:rsidRPr="000F041D">
        <w:rPr>
          <w:lang w:val="fr-FR"/>
        </w:rPr>
        <w:t xml:space="preserve"> recomm</w:t>
      </w:r>
      <w:r w:rsidRPr="000F041D">
        <w:rPr>
          <w:lang w:val="fr-FR"/>
        </w:rPr>
        <w:t>a</w:t>
      </w:r>
      <w:r w:rsidR="00E27362" w:rsidRPr="000F041D">
        <w:rPr>
          <w:lang w:val="fr-FR"/>
        </w:rPr>
        <w:t>ndations</w:t>
      </w:r>
      <w:r w:rsidR="00E27362" w:rsidRPr="000F041D">
        <w:rPr>
          <w:lang w:val="fr-FR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232"/>
      </w:tblGrid>
      <w:tr w:rsidR="00E27362" w:rsidRPr="000F041D" w:rsidTr="008779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E27362" w:rsidRPr="000F041D" w:rsidRDefault="00A00C3A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bCs/>
                <w:iCs/>
                <w:lang w:val="fr-FR"/>
              </w:rPr>
              <w:t>I</w:t>
            </w:r>
            <w:r w:rsidR="00E27362" w:rsidRPr="000F041D">
              <w:rPr>
                <w:b/>
                <w:bCs/>
                <w:iCs/>
                <w:lang w:val="fr-FR"/>
              </w:rPr>
              <w:t xml:space="preserve">nterventions </w:t>
            </w:r>
            <w:r w:rsidRPr="000F041D">
              <w:rPr>
                <w:b/>
                <w:bCs/>
                <w:iCs/>
                <w:lang w:val="fr-FR"/>
              </w:rPr>
              <w:t>préopératoires qui sont recommandées pour une césarienne</w:t>
            </w:r>
          </w:p>
          <w:p w:rsidR="00E27362" w:rsidRPr="000F041D" w:rsidRDefault="00A00C3A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>Remarque </w:t>
            </w:r>
            <w:r w:rsidR="00E27362" w:rsidRPr="000F041D">
              <w:rPr>
                <w:lang w:val="fr-FR"/>
              </w:rPr>
              <w:t xml:space="preserve">: </w:t>
            </w:r>
            <w:r w:rsidRPr="000F041D">
              <w:rPr>
                <w:lang w:val="fr-FR"/>
              </w:rPr>
              <w:t>sauf indication contraire</w:t>
            </w:r>
            <w:r w:rsidR="00E27362" w:rsidRPr="000F041D">
              <w:rPr>
                <w:lang w:val="fr-FR"/>
              </w:rPr>
              <w:t xml:space="preserve">, </w:t>
            </w:r>
            <w:r w:rsidRPr="000F041D">
              <w:rPr>
                <w:lang w:val="fr-FR"/>
              </w:rPr>
              <w:t>le terme « </w:t>
            </w:r>
            <w:r w:rsidR="00E27362" w:rsidRPr="000F041D">
              <w:rPr>
                <w:lang w:val="fr-FR"/>
              </w:rPr>
              <w:t>pr</w:t>
            </w:r>
            <w:r w:rsidRPr="000F041D">
              <w:rPr>
                <w:lang w:val="fr-FR"/>
              </w:rPr>
              <w:t>é</w:t>
            </w:r>
            <w:r w:rsidR="00E27362" w:rsidRPr="000F041D">
              <w:rPr>
                <w:lang w:val="fr-FR"/>
              </w:rPr>
              <w:t>op</w:t>
            </w:r>
            <w:r w:rsidRPr="000F041D">
              <w:rPr>
                <w:lang w:val="fr-FR"/>
              </w:rPr>
              <w:t>é</w:t>
            </w:r>
            <w:r w:rsidR="00E27362" w:rsidRPr="000F041D">
              <w:rPr>
                <w:lang w:val="fr-FR"/>
              </w:rPr>
              <w:t>ra</w:t>
            </w:r>
            <w:r w:rsidRPr="000F041D">
              <w:rPr>
                <w:lang w:val="fr-FR"/>
              </w:rPr>
              <w:t>toire »</w:t>
            </w:r>
            <w:r w:rsidR="002D7AF4" w:rsidRPr="000F041D">
              <w:rPr>
                <w:lang w:val="fr-FR"/>
              </w:rPr>
              <w:t xml:space="preserve"> </w:t>
            </w:r>
            <w:r w:rsidR="00C2571D" w:rsidRPr="000F041D">
              <w:rPr>
                <w:lang w:val="fr-FR"/>
              </w:rPr>
              <w:t>se réfère à des</w:t>
            </w:r>
            <w:r w:rsidR="00E27362" w:rsidRPr="000F041D">
              <w:rPr>
                <w:lang w:val="fr-FR"/>
              </w:rPr>
              <w:t xml:space="preserve"> interventions appl</w:t>
            </w:r>
            <w:r w:rsidR="00C2571D" w:rsidRPr="000F041D">
              <w:rPr>
                <w:lang w:val="fr-FR"/>
              </w:rPr>
              <w:t>iquées avant l’</w:t>
            </w:r>
            <w:r w:rsidR="00E27362" w:rsidRPr="000F041D">
              <w:rPr>
                <w:lang w:val="fr-FR"/>
              </w:rPr>
              <w:t>incision</w:t>
            </w:r>
            <w:r w:rsidR="00C2571D" w:rsidRPr="000F041D">
              <w:rPr>
                <w:lang w:val="fr-FR"/>
              </w:rPr>
              <w:t xml:space="preserve"> chirurgicale</w:t>
            </w:r>
            <w:r w:rsidR="00516FAB" w:rsidRPr="000F041D">
              <w:rPr>
                <w:lang w:val="fr-FR"/>
              </w:rPr>
              <w:t>.</w:t>
            </w:r>
          </w:p>
          <w:p w:rsidR="00E27362" w:rsidRPr="000F041D" w:rsidRDefault="00C2571D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>Remarque </w:t>
            </w:r>
            <w:r w:rsidR="00E27362" w:rsidRPr="000F041D">
              <w:rPr>
                <w:lang w:val="fr-FR"/>
              </w:rPr>
              <w:t xml:space="preserve">: </w:t>
            </w:r>
            <w:r w:rsidR="004C77EB" w:rsidRPr="000F041D">
              <w:rPr>
                <w:lang w:val="fr-FR"/>
              </w:rPr>
              <w:t xml:space="preserve">les analgésiques doivent </w:t>
            </w:r>
            <w:r w:rsidR="009A20E4" w:rsidRPr="000F041D">
              <w:rPr>
                <w:lang w:val="fr-FR"/>
              </w:rPr>
              <w:t>ê</w:t>
            </w:r>
            <w:r w:rsidR="004C77EB" w:rsidRPr="000F041D">
              <w:rPr>
                <w:lang w:val="fr-FR"/>
              </w:rPr>
              <w:t>tre</w:t>
            </w:r>
            <w:r w:rsidR="00E27362" w:rsidRPr="000F041D">
              <w:rPr>
                <w:lang w:val="fr-FR"/>
              </w:rPr>
              <w:t xml:space="preserve"> administ</w:t>
            </w:r>
            <w:r w:rsidR="009A20E4" w:rsidRPr="000F041D">
              <w:rPr>
                <w:lang w:val="fr-FR"/>
              </w:rPr>
              <w:t>rés</w:t>
            </w:r>
            <w:r w:rsidR="002D7AF4" w:rsidRPr="000F041D">
              <w:rPr>
                <w:lang w:val="fr-FR"/>
              </w:rPr>
              <w:t xml:space="preserve"> </w:t>
            </w:r>
            <w:r w:rsidR="009A20E4" w:rsidRPr="000F041D">
              <w:rPr>
                <w:lang w:val="fr-FR"/>
              </w:rPr>
              <w:t>au moment</w:t>
            </w:r>
            <w:r w:rsidR="00E27362" w:rsidRPr="000F041D">
              <w:rPr>
                <w:lang w:val="fr-FR"/>
              </w:rPr>
              <w:t xml:space="preserve"> appropri</w:t>
            </w:r>
            <w:r w:rsidR="009A20E4" w:rsidRPr="000F041D">
              <w:rPr>
                <w:lang w:val="fr-FR"/>
              </w:rPr>
              <w:t xml:space="preserve">é (à titre </w:t>
            </w:r>
            <w:r w:rsidR="00E27362" w:rsidRPr="000F041D">
              <w:rPr>
                <w:lang w:val="fr-FR"/>
              </w:rPr>
              <w:t>pr</w:t>
            </w:r>
            <w:r w:rsidR="009A20E4" w:rsidRPr="000F041D">
              <w:rPr>
                <w:lang w:val="fr-FR"/>
              </w:rPr>
              <w:t>éopératoire ou</w:t>
            </w:r>
            <w:r w:rsidR="002D7AF4" w:rsidRPr="000F041D">
              <w:rPr>
                <w:lang w:val="fr-FR"/>
              </w:rPr>
              <w:t xml:space="preserve"> </w:t>
            </w:r>
            <w:r w:rsidR="009A20E4" w:rsidRPr="000F041D">
              <w:rPr>
                <w:lang w:val="fr-FR"/>
              </w:rPr>
              <w:t>peropératoire</w:t>
            </w:r>
            <w:r w:rsidR="00E27362" w:rsidRPr="000F041D">
              <w:rPr>
                <w:lang w:val="fr-FR"/>
              </w:rPr>
              <w:t xml:space="preserve">) </w:t>
            </w:r>
            <w:r w:rsidR="009A20E4" w:rsidRPr="000F041D">
              <w:rPr>
                <w:lang w:val="fr-FR"/>
              </w:rPr>
              <w:t xml:space="preserve">pour assurer une analgésie </w:t>
            </w:r>
            <w:r w:rsidR="00E27362" w:rsidRPr="000F041D">
              <w:rPr>
                <w:lang w:val="fr-FR"/>
              </w:rPr>
              <w:t>suffi</w:t>
            </w:r>
            <w:r w:rsidR="009A20E4" w:rsidRPr="000F041D">
              <w:rPr>
                <w:lang w:val="fr-FR"/>
              </w:rPr>
              <w:t>sa</w:t>
            </w:r>
            <w:r w:rsidR="00E27362" w:rsidRPr="000F041D">
              <w:rPr>
                <w:lang w:val="fr-FR"/>
              </w:rPr>
              <w:t>nt</w:t>
            </w:r>
            <w:r w:rsidR="009A20E4" w:rsidRPr="000F041D">
              <w:rPr>
                <w:lang w:val="fr-FR"/>
              </w:rPr>
              <w:t>e</w:t>
            </w:r>
            <w:r w:rsidR="002D7AF4" w:rsidRPr="000F041D">
              <w:rPr>
                <w:lang w:val="fr-FR"/>
              </w:rPr>
              <w:t xml:space="preserve"> </w:t>
            </w:r>
            <w:r w:rsidR="007C48C1" w:rsidRPr="000F041D">
              <w:rPr>
                <w:lang w:val="fr-FR"/>
              </w:rPr>
              <w:t>au début de la période de</w:t>
            </w:r>
            <w:r w:rsidR="009A20E4" w:rsidRPr="000F041D">
              <w:rPr>
                <w:lang w:val="fr-FR"/>
              </w:rPr>
              <w:t xml:space="preserve"> rétablissement.</w:t>
            </w:r>
          </w:p>
        </w:tc>
      </w:tr>
      <w:tr w:rsidR="00DB13B8" w:rsidRPr="000F041D" w:rsidTr="0087791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A87E25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t>G</w:t>
            </w:r>
            <w:r w:rsidR="00E27362" w:rsidRPr="000F041D">
              <w:rPr>
                <w:b/>
                <w:lang w:val="fr-FR"/>
              </w:rPr>
              <w:t>abapentin</w:t>
            </w:r>
            <w:r w:rsidRPr="000F041D">
              <w:rPr>
                <w:b/>
                <w:lang w:val="fr-FR"/>
              </w:rPr>
              <w:t>e orale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 xml:space="preserve">·        </w:t>
            </w:r>
            <w:r w:rsidR="00D75FF9" w:rsidRPr="000F041D">
              <w:rPr>
                <w:lang w:val="fr-FR"/>
              </w:rPr>
              <w:t xml:space="preserve">Une </w:t>
            </w:r>
            <w:r w:rsidRPr="000F041D">
              <w:rPr>
                <w:lang w:val="fr-FR"/>
              </w:rPr>
              <w:t xml:space="preserve">dose </w:t>
            </w:r>
            <w:r w:rsidR="00D75FF9" w:rsidRPr="000F041D">
              <w:rPr>
                <w:lang w:val="fr-FR"/>
              </w:rPr>
              <w:t xml:space="preserve">unique de </w:t>
            </w:r>
            <w:r w:rsidRPr="000F041D">
              <w:rPr>
                <w:lang w:val="fr-FR"/>
              </w:rPr>
              <w:t>gabapentin</w:t>
            </w:r>
            <w:r w:rsidR="00D75FF9" w:rsidRPr="000F041D">
              <w:rPr>
                <w:lang w:val="fr-FR"/>
              </w:rPr>
              <w:t>e</w:t>
            </w:r>
            <w:r w:rsidR="002D7AF4" w:rsidRPr="000F041D">
              <w:rPr>
                <w:lang w:val="fr-FR"/>
              </w:rPr>
              <w:t xml:space="preserve"> </w:t>
            </w:r>
            <w:r w:rsidR="00D75FF9" w:rsidRPr="000F041D">
              <w:rPr>
                <w:lang w:val="fr-FR"/>
              </w:rPr>
              <w:t>orale préopératoire est</w:t>
            </w:r>
            <w:r w:rsidRPr="000F041D">
              <w:rPr>
                <w:lang w:val="fr-FR"/>
              </w:rPr>
              <w:t xml:space="preserve"> recomm</w:t>
            </w:r>
            <w:r w:rsidR="00D75FF9" w:rsidRPr="000F041D">
              <w:rPr>
                <w:lang w:val="fr-FR"/>
              </w:rPr>
              <w:t>a</w:t>
            </w:r>
            <w:r w:rsidRPr="000F041D">
              <w:rPr>
                <w:lang w:val="fr-FR"/>
              </w:rPr>
              <w:t>n</w:t>
            </w:r>
            <w:r w:rsidR="00D75FF9" w:rsidRPr="000F041D">
              <w:rPr>
                <w:lang w:val="fr-FR"/>
              </w:rPr>
              <w:t>dée</w:t>
            </w:r>
            <w:r w:rsidRPr="000F041D">
              <w:rPr>
                <w:lang w:val="fr-FR"/>
              </w:rPr>
              <w:t xml:space="preserve"> (G</w:t>
            </w:r>
            <w:r w:rsidR="009A20E4" w:rsidRPr="000F041D">
              <w:rPr>
                <w:lang w:val="fr-FR"/>
              </w:rPr>
              <w:t>d</w:t>
            </w:r>
            <w:r w:rsidRPr="000F041D">
              <w:rPr>
                <w:lang w:val="fr-FR"/>
              </w:rPr>
              <w:t xml:space="preserve">R A) </w:t>
            </w:r>
            <w:r w:rsidR="00D75FF9" w:rsidRPr="000F041D">
              <w:rPr>
                <w:lang w:val="fr-FR"/>
              </w:rPr>
              <w:t>pour améliorer le soulagement de la</w:t>
            </w:r>
            <w:r w:rsidR="002D7AF4" w:rsidRPr="000F041D">
              <w:rPr>
                <w:lang w:val="fr-FR"/>
              </w:rPr>
              <w:t xml:space="preserve"> </w:t>
            </w:r>
            <w:r w:rsidR="00D75FF9" w:rsidRPr="000F041D">
              <w:rPr>
                <w:lang w:val="fr-FR"/>
              </w:rPr>
              <w:t xml:space="preserve">douleur postopératoire </w:t>
            </w:r>
            <w:r w:rsidRPr="000F041D">
              <w:rPr>
                <w:lang w:val="fr-FR"/>
              </w:rPr>
              <w:t>(</w:t>
            </w:r>
            <w:r w:rsidR="00D75FF9" w:rsidRPr="000F041D">
              <w:rPr>
                <w:lang w:val="fr-FR"/>
              </w:rPr>
              <w:t>NdP</w:t>
            </w:r>
            <w:r w:rsidRPr="000F041D">
              <w:rPr>
                <w:lang w:val="fr-FR"/>
              </w:rPr>
              <w:t xml:space="preserve"> 1)</w:t>
            </w:r>
            <w:r w:rsidR="00D75FF9" w:rsidRPr="000F041D">
              <w:rPr>
                <w:lang w:val="fr-FR"/>
              </w:rPr>
              <w:t>.</w:t>
            </w:r>
          </w:p>
        </w:tc>
      </w:tr>
      <w:tr w:rsidR="00E27362" w:rsidRPr="000F041D" w:rsidTr="008779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E27362" w:rsidRPr="000F041D" w:rsidRDefault="00D75FF9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t>T</w:t>
            </w:r>
            <w:r w:rsidR="00E27362" w:rsidRPr="000F041D">
              <w:rPr>
                <w:b/>
                <w:lang w:val="fr-FR"/>
              </w:rPr>
              <w:t xml:space="preserve">echniques </w:t>
            </w:r>
            <w:r w:rsidRPr="000F041D">
              <w:rPr>
                <w:b/>
                <w:lang w:val="fr-FR"/>
              </w:rPr>
              <w:t>anesthésiques et</w:t>
            </w:r>
            <w:r w:rsidR="00516FAB" w:rsidRPr="000F041D">
              <w:rPr>
                <w:b/>
                <w:lang w:val="fr-FR"/>
              </w:rPr>
              <w:t xml:space="preserve"> </w:t>
            </w:r>
            <w:r w:rsidRPr="000F041D">
              <w:rPr>
                <w:b/>
                <w:lang w:val="fr-FR"/>
              </w:rPr>
              <w:t xml:space="preserve">analgésiques </w:t>
            </w:r>
            <w:r w:rsidR="00E27362" w:rsidRPr="000F041D">
              <w:rPr>
                <w:b/>
                <w:lang w:val="fr-FR"/>
              </w:rPr>
              <w:t>coadminist</w:t>
            </w:r>
            <w:r w:rsidRPr="000F041D">
              <w:rPr>
                <w:b/>
                <w:lang w:val="fr-FR"/>
              </w:rPr>
              <w:t>rés</w:t>
            </w:r>
          </w:p>
        </w:tc>
      </w:tr>
      <w:tr w:rsidR="00DB13B8" w:rsidRPr="000F041D" w:rsidTr="00877917">
        <w:trPr>
          <w:trHeight w:val="31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D75FF9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t>Techniques anesthésiques</w:t>
            </w:r>
            <w:r w:rsidR="00DB13B8" w:rsidRPr="000F041D">
              <w:rPr>
                <w:b/>
                <w:lang w:val="fr-FR"/>
              </w:rPr>
              <w:t> </w:t>
            </w:r>
            <w:r w:rsidR="00E27362" w:rsidRPr="000F041D">
              <w:rPr>
                <w:b/>
                <w:lang w:val="fr-FR"/>
              </w:rPr>
              <w:t>:</w:t>
            </w:r>
            <w:r w:rsidR="00DB13B8" w:rsidRPr="000F041D">
              <w:rPr>
                <w:b/>
                <w:lang w:val="fr-FR"/>
              </w:rPr>
              <w:t> anesthésie rachidienne-péridurale combinée ou anesthésie rachidienne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 xml:space="preserve">·        </w:t>
            </w:r>
            <w:r w:rsidR="00DB13B8" w:rsidRPr="000F041D">
              <w:rPr>
                <w:lang w:val="fr-FR"/>
              </w:rPr>
              <w:t>Une anesthésie rachidienne-péridurale combinée ou une anesthésie rachidienne est</w:t>
            </w:r>
            <w:r w:rsidRPr="000F041D">
              <w:rPr>
                <w:lang w:val="fr-FR"/>
              </w:rPr>
              <w:t xml:space="preserve"> recomm</w:t>
            </w:r>
            <w:r w:rsidR="00DB13B8" w:rsidRPr="000F041D">
              <w:rPr>
                <w:lang w:val="fr-FR"/>
              </w:rPr>
              <w:t>a</w:t>
            </w:r>
            <w:r w:rsidRPr="000F041D">
              <w:rPr>
                <w:lang w:val="fr-FR"/>
              </w:rPr>
              <w:t>nd</w:t>
            </w:r>
            <w:r w:rsidR="00DB13B8" w:rsidRPr="000F041D">
              <w:rPr>
                <w:lang w:val="fr-FR"/>
              </w:rPr>
              <w:t>ée</w:t>
            </w:r>
            <w:r w:rsidRPr="000F041D">
              <w:rPr>
                <w:lang w:val="fr-FR"/>
              </w:rPr>
              <w:t xml:space="preserve"> (G</w:t>
            </w:r>
            <w:r w:rsidR="00DB13B8" w:rsidRPr="000F041D">
              <w:rPr>
                <w:lang w:val="fr-FR"/>
              </w:rPr>
              <w:t>d</w:t>
            </w:r>
            <w:r w:rsidRPr="000F041D">
              <w:rPr>
                <w:lang w:val="fr-FR"/>
              </w:rPr>
              <w:t xml:space="preserve">R A) </w:t>
            </w:r>
            <w:r w:rsidR="00DB13B8" w:rsidRPr="000F041D">
              <w:rPr>
                <w:lang w:val="fr-FR"/>
              </w:rPr>
              <w:t>sur la base d’une preuve</w:t>
            </w:r>
            <w:r w:rsidR="002D7AF4" w:rsidRPr="000F041D">
              <w:rPr>
                <w:lang w:val="fr-FR"/>
              </w:rPr>
              <w:t xml:space="preserve"> </w:t>
            </w:r>
            <w:r w:rsidR="008769EC" w:rsidRPr="000F041D">
              <w:rPr>
                <w:lang w:val="fr-FR"/>
              </w:rPr>
              <w:t xml:space="preserve">propre à </w:t>
            </w:r>
            <w:r w:rsidR="003D4187" w:rsidRPr="000F041D">
              <w:rPr>
                <w:lang w:val="fr-FR"/>
              </w:rPr>
              <w:t xml:space="preserve">la procédure </w:t>
            </w:r>
            <w:r w:rsidR="008769EC" w:rsidRPr="000F041D">
              <w:rPr>
                <w:lang w:val="fr-FR"/>
              </w:rPr>
              <w:t>pratiquée</w:t>
            </w:r>
            <w:r w:rsidRPr="000F041D">
              <w:rPr>
                <w:lang w:val="fr-FR"/>
              </w:rPr>
              <w:t xml:space="preserve"> (</w:t>
            </w:r>
            <w:r w:rsidR="00DB13B8" w:rsidRPr="000F041D">
              <w:rPr>
                <w:lang w:val="fr-FR"/>
              </w:rPr>
              <w:t>NdP</w:t>
            </w:r>
            <w:r w:rsidRPr="000F041D">
              <w:rPr>
                <w:lang w:val="fr-FR"/>
              </w:rPr>
              <w:t xml:space="preserve"> 1)</w:t>
            </w:r>
          </w:p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 xml:space="preserve">·        </w:t>
            </w:r>
            <w:r w:rsidR="004D1F09" w:rsidRPr="000F041D">
              <w:rPr>
                <w:lang w:val="fr-FR"/>
              </w:rPr>
              <w:t xml:space="preserve">Il n’y a pas de preuve de bénéfice </w:t>
            </w:r>
            <w:r w:rsidRPr="000F041D">
              <w:rPr>
                <w:lang w:val="fr-FR"/>
              </w:rPr>
              <w:t>analg</w:t>
            </w:r>
            <w:r w:rsidR="004D1F09" w:rsidRPr="000F041D">
              <w:rPr>
                <w:lang w:val="fr-FR"/>
              </w:rPr>
              <w:t xml:space="preserve">ésique susceptible de </w:t>
            </w:r>
            <w:r w:rsidRPr="000F041D">
              <w:rPr>
                <w:lang w:val="fr-FR"/>
              </w:rPr>
              <w:t>recomm</w:t>
            </w:r>
            <w:r w:rsidR="004D1F09" w:rsidRPr="000F041D">
              <w:rPr>
                <w:lang w:val="fr-FR"/>
              </w:rPr>
              <w:t>a</w:t>
            </w:r>
            <w:r w:rsidRPr="000F041D">
              <w:rPr>
                <w:lang w:val="fr-FR"/>
              </w:rPr>
              <w:t>nd</w:t>
            </w:r>
            <w:r w:rsidR="004D1F09" w:rsidRPr="000F041D">
              <w:rPr>
                <w:lang w:val="fr-FR"/>
              </w:rPr>
              <w:t>er une anesthésie</w:t>
            </w:r>
            <w:r w:rsidRPr="000F041D">
              <w:rPr>
                <w:lang w:val="fr-FR"/>
              </w:rPr>
              <w:t xml:space="preserve"> g</w:t>
            </w:r>
            <w:r w:rsidR="004D1F09" w:rsidRPr="000F041D">
              <w:rPr>
                <w:lang w:val="fr-FR"/>
              </w:rPr>
              <w:t>é</w:t>
            </w:r>
            <w:r w:rsidRPr="000F041D">
              <w:rPr>
                <w:lang w:val="fr-FR"/>
              </w:rPr>
              <w:t>n</w:t>
            </w:r>
            <w:r w:rsidR="004D1F09" w:rsidRPr="000F041D">
              <w:rPr>
                <w:lang w:val="fr-FR"/>
              </w:rPr>
              <w:t>é</w:t>
            </w:r>
            <w:r w:rsidRPr="000F041D">
              <w:rPr>
                <w:lang w:val="fr-FR"/>
              </w:rPr>
              <w:t>ral</w:t>
            </w:r>
            <w:r w:rsidR="004D1F09" w:rsidRPr="000F041D">
              <w:rPr>
                <w:lang w:val="fr-FR"/>
              </w:rPr>
              <w:t xml:space="preserve">e plutôt qu’une anesthésie </w:t>
            </w:r>
            <w:r w:rsidRPr="000F041D">
              <w:rPr>
                <w:lang w:val="fr-FR"/>
              </w:rPr>
              <w:t>neuraxial</w:t>
            </w:r>
            <w:r w:rsidR="004D1F09" w:rsidRPr="000F041D">
              <w:rPr>
                <w:lang w:val="fr-FR"/>
              </w:rPr>
              <w:t>e</w:t>
            </w:r>
            <w:r w:rsidR="002D7AF4" w:rsidRPr="000F041D">
              <w:rPr>
                <w:lang w:val="fr-FR"/>
              </w:rPr>
              <w:t xml:space="preserve"> </w:t>
            </w:r>
            <w:r w:rsidRPr="000F041D">
              <w:rPr>
                <w:lang w:val="fr-FR"/>
              </w:rPr>
              <w:t>(</w:t>
            </w:r>
            <w:r w:rsidR="004D1F09" w:rsidRPr="000F041D">
              <w:rPr>
                <w:lang w:val="fr-FR"/>
              </w:rPr>
              <w:t>c.-à-d.</w:t>
            </w:r>
            <w:r w:rsidR="00516FAB" w:rsidRPr="000F041D">
              <w:rPr>
                <w:lang w:val="fr-FR"/>
              </w:rPr>
              <w:t xml:space="preserve"> </w:t>
            </w:r>
            <w:r w:rsidR="004D1F09" w:rsidRPr="000F041D">
              <w:rPr>
                <w:lang w:val="fr-FR"/>
              </w:rPr>
              <w:t xml:space="preserve">anesthésie </w:t>
            </w:r>
            <w:r w:rsidR="002A3791" w:rsidRPr="000F041D">
              <w:rPr>
                <w:lang w:val="fr-FR"/>
              </w:rPr>
              <w:t>périd</w:t>
            </w:r>
            <w:r w:rsidR="004D1F09" w:rsidRPr="000F041D">
              <w:rPr>
                <w:lang w:val="fr-FR"/>
              </w:rPr>
              <w:t>urale</w:t>
            </w:r>
            <w:r w:rsidRPr="000F041D">
              <w:rPr>
                <w:lang w:val="fr-FR"/>
              </w:rPr>
              <w:t xml:space="preserve">, </w:t>
            </w:r>
            <w:r w:rsidR="004D1F09" w:rsidRPr="000F041D">
              <w:rPr>
                <w:lang w:val="fr-FR"/>
              </w:rPr>
              <w:t>anesthésie rachidienne et anesthésie rachidienne-péridurale combinée</w:t>
            </w:r>
            <w:r w:rsidRPr="000F041D">
              <w:rPr>
                <w:lang w:val="fr-FR"/>
              </w:rPr>
              <w:t xml:space="preserve">), </w:t>
            </w:r>
            <w:r w:rsidR="004D1F09" w:rsidRPr="000F041D">
              <w:rPr>
                <w:lang w:val="fr-FR"/>
              </w:rPr>
              <w:t>en raison du manque d’études</w:t>
            </w:r>
            <w:r w:rsidRPr="000F041D">
              <w:rPr>
                <w:lang w:val="fr-FR"/>
              </w:rPr>
              <w:t xml:space="preserve"> comparative</w:t>
            </w:r>
            <w:r w:rsidR="004D1F09" w:rsidRPr="000F041D">
              <w:rPr>
                <w:lang w:val="fr-FR"/>
              </w:rPr>
              <w:t>s</w:t>
            </w:r>
            <w:r w:rsidR="002D7AF4" w:rsidRPr="000F041D">
              <w:rPr>
                <w:lang w:val="fr-FR"/>
              </w:rPr>
              <w:t xml:space="preserve"> </w:t>
            </w:r>
            <w:r w:rsidR="004D1F09" w:rsidRPr="000F041D">
              <w:rPr>
                <w:lang w:val="fr-FR"/>
              </w:rPr>
              <w:t>directes axées sur l’</w:t>
            </w:r>
            <w:r w:rsidRPr="000F041D">
              <w:rPr>
                <w:lang w:val="fr-FR"/>
              </w:rPr>
              <w:t>analg</w:t>
            </w:r>
            <w:r w:rsidR="004D1F09" w:rsidRPr="000F041D">
              <w:rPr>
                <w:lang w:val="fr-FR"/>
              </w:rPr>
              <w:t>é</w:t>
            </w:r>
            <w:r w:rsidRPr="000F041D">
              <w:rPr>
                <w:lang w:val="fr-FR"/>
              </w:rPr>
              <w:t>si</w:t>
            </w:r>
            <w:r w:rsidR="004D1F09" w:rsidRPr="000F041D">
              <w:rPr>
                <w:lang w:val="fr-FR"/>
              </w:rPr>
              <w:t>e</w:t>
            </w:r>
            <w:r w:rsidR="002D7AF4" w:rsidRPr="000F041D">
              <w:rPr>
                <w:lang w:val="fr-FR"/>
              </w:rPr>
              <w:t xml:space="preserve"> </w:t>
            </w:r>
            <w:r w:rsidR="004D1F09" w:rsidRPr="000F041D">
              <w:rPr>
                <w:lang w:val="fr-FR"/>
              </w:rPr>
              <w:t>postop</w:t>
            </w:r>
            <w:r w:rsidR="00F84309" w:rsidRPr="000F041D">
              <w:rPr>
                <w:lang w:val="fr-FR"/>
              </w:rPr>
              <w:t>é</w:t>
            </w:r>
            <w:r w:rsidR="004D1F09" w:rsidRPr="000F041D">
              <w:rPr>
                <w:lang w:val="fr-FR"/>
              </w:rPr>
              <w:t>ra</w:t>
            </w:r>
            <w:r w:rsidR="00F84309" w:rsidRPr="000F041D">
              <w:rPr>
                <w:lang w:val="fr-FR"/>
              </w:rPr>
              <w:t>toire</w:t>
            </w:r>
            <w:r w:rsidR="002D7AF4" w:rsidRPr="000F041D">
              <w:rPr>
                <w:lang w:val="fr-FR"/>
              </w:rPr>
              <w:t xml:space="preserve"> </w:t>
            </w:r>
            <w:r w:rsidRPr="000F041D">
              <w:rPr>
                <w:lang w:val="fr-FR"/>
              </w:rPr>
              <w:t>(G</w:t>
            </w:r>
            <w:r w:rsidR="00F84309" w:rsidRPr="000F041D">
              <w:rPr>
                <w:lang w:val="fr-FR"/>
              </w:rPr>
              <w:t>d</w:t>
            </w:r>
            <w:r w:rsidR="00516FAB" w:rsidRPr="000F041D">
              <w:rPr>
                <w:lang w:val="fr-FR"/>
              </w:rPr>
              <w:t>R D)</w:t>
            </w:r>
          </w:p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 xml:space="preserve">·        </w:t>
            </w:r>
            <w:r w:rsidR="00F84309" w:rsidRPr="000F041D">
              <w:rPr>
                <w:lang w:val="fr-FR"/>
              </w:rPr>
              <w:t>Toutefois</w:t>
            </w:r>
            <w:r w:rsidRPr="000F041D">
              <w:rPr>
                <w:lang w:val="fr-FR"/>
              </w:rPr>
              <w:t xml:space="preserve">, </w:t>
            </w:r>
            <w:r w:rsidR="00F84309" w:rsidRPr="000F041D">
              <w:rPr>
                <w:lang w:val="fr-FR"/>
              </w:rPr>
              <w:t>les</w:t>
            </w:r>
            <w:r w:rsidRPr="000F041D">
              <w:rPr>
                <w:lang w:val="fr-FR"/>
              </w:rPr>
              <w:t xml:space="preserve"> techniques </w:t>
            </w:r>
            <w:r w:rsidR="00F84309" w:rsidRPr="000F041D">
              <w:rPr>
                <w:lang w:val="fr-FR"/>
              </w:rPr>
              <w:t>d’anesthésie neuraxiale sont</w:t>
            </w:r>
            <w:r w:rsidRPr="000F041D">
              <w:rPr>
                <w:lang w:val="fr-FR"/>
              </w:rPr>
              <w:t xml:space="preserve"> recomm</w:t>
            </w:r>
            <w:r w:rsidR="00F84309" w:rsidRPr="000F041D">
              <w:rPr>
                <w:lang w:val="fr-FR"/>
              </w:rPr>
              <w:t>a</w:t>
            </w:r>
            <w:r w:rsidRPr="000F041D">
              <w:rPr>
                <w:lang w:val="fr-FR"/>
              </w:rPr>
              <w:t>nd</w:t>
            </w:r>
            <w:r w:rsidR="00F84309" w:rsidRPr="000F041D">
              <w:rPr>
                <w:lang w:val="fr-FR"/>
              </w:rPr>
              <w:t>ées pour des raisons de sécurité</w:t>
            </w:r>
            <w:r w:rsidRPr="000F041D">
              <w:rPr>
                <w:lang w:val="fr-FR"/>
              </w:rPr>
              <w:t xml:space="preserve"> (</w:t>
            </w:r>
            <w:r w:rsidR="00F84309" w:rsidRPr="000F041D">
              <w:rPr>
                <w:lang w:val="fr-FR"/>
              </w:rPr>
              <w:t>p. ex.</w:t>
            </w:r>
            <w:r w:rsidRPr="000F041D">
              <w:rPr>
                <w:lang w:val="fr-FR"/>
              </w:rPr>
              <w:t xml:space="preserve">, </w:t>
            </w:r>
            <w:r w:rsidR="00F84309" w:rsidRPr="000F041D">
              <w:rPr>
                <w:lang w:val="fr-FR"/>
              </w:rPr>
              <w:t>l’anesthésie neuraxiale permet d’éviter</w:t>
            </w:r>
            <w:r w:rsidR="002D7AF4" w:rsidRPr="000F041D">
              <w:rPr>
                <w:lang w:val="fr-FR"/>
              </w:rPr>
              <w:t xml:space="preserve"> </w:t>
            </w:r>
            <w:r w:rsidR="00F84309" w:rsidRPr="000F041D">
              <w:rPr>
                <w:lang w:val="fr-FR"/>
              </w:rPr>
              <w:t>la nécessité</w:t>
            </w:r>
            <w:r w:rsidR="002D7AF4" w:rsidRPr="000F041D">
              <w:rPr>
                <w:lang w:val="fr-FR"/>
              </w:rPr>
              <w:t xml:space="preserve"> </w:t>
            </w:r>
            <w:r w:rsidR="00F84309" w:rsidRPr="000F041D">
              <w:rPr>
                <w:lang w:val="fr-FR"/>
              </w:rPr>
              <w:t xml:space="preserve">de </w:t>
            </w:r>
            <w:r w:rsidRPr="000F041D">
              <w:rPr>
                <w:lang w:val="fr-FR"/>
              </w:rPr>
              <w:t>manipul</w:t>
            </w:r>
            <w:r w:rsidR="00F84309" w:rsidRPr="000F041D">
              <w:rPr>
                <w:lang w:val="fr-FR"/>
              </w:rPr>
              <w:t>er les voies respiratoires et élimine les effets sédatifs</w:t>
            </w:r>
            <w:r w:rsidRPr="000F041D">
              <w:rPr>
                <w:lang w:val="fr-FR"/>
              </w:rPr>
              <w:t xml:space="preserve"> postop</w:t>
            </w:r>
            <w:r w:rsidR="00F84309" w:rsidRPr="000F041D">
              <w:rPr>
                <w:lang w:val="fr-FR"/>
              </w:rPr>
              <w:t>é</w:t>
            </w:r>
            <w:r w:rsidRPr="000F041D">
              <w:rPr>
                <w:lang w:val="fr-FR"/>
              </w:rPr>
              <w:t>rat</w:t>
            </w:r>
            <w:r w:rsidR="00F84309" w:rsidRPr="000F041D">
              <w:rPr>
                <w:lang w:val="fr-FR"/>
              </w:rPr>
              <w:t>oires de l’anesthésie générale</w:t>
            </w:r>
            <w:r w:rsidRPr="000F041D">
              <w:rPr>
                <w:lang w:val="fr-FR"/>
              </w:rPr>
              <w:t>) (G</w:t>
            </w:r>
            <w:r w:rsidR="00F84309" w:rsidRPr="000F041D">
              <w:rPr>
                <w:lang w:val="fr-FR"/>
              </w:rPr>
              <w:t>d</w:t>
            </w:r>
            <w:r w:rsidRPr="000F041D">
              <w:rPr>
                <w:lang w:val="fr-FR"/>
              </w:rPr>
              <w:t>R D)</w:t>
            </w:r>
          </w:p>
        </w:tc>
      </w:tr>
      <w:tr w:rsidR="00DB13B8" w:rsidRPr="000F041D" w:rsidTr="0087791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DF0384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t>Analgésie opi</w:t>
            </w:r>
            <w:r w:rsidR="000C78FB" w:rsidRPr="000F041D">
              <w:rPr>
                <w:b/>
                <w:lang w:val="fr-FR"/>
              </w:rPr>
              <w:t>oïd</w:t>
            </w:r>
            <w:r w:rsidRPr="000F041D">
              <w:rPr>
                <w:b/>
                <w:lang w:val="fr-FR"/>
              </w:rPr>
              <w:t>e i</w:t>
            </w:r>
            <w:r w:rsidR="00E27362" w:rsidRPr="000F041D">
              <w:rPr>
                <w:b/>
                <w:lang w:val="fr-FR"/>
              </w:rPr>
              <w:t>ntrath</w:t>
            </w:r>
            <w:r w:rsidRPr="000F041D">
              <w:rPr>
                <w:b/>
                <w:lang w:val="fr-FR"/>
              </w:rPr>
              <w:t>é</w:t>
            </w:r>
            <w:r w:rsidR="00E27362" w:rsidRPr="000F041D">
              <w:rPr>
                <w:b/>
                <w:lang w:val="fr-FR"/>
              </w:rPr>
              <w:t>cal</w:t>
            </w:r>
            <w:r w:rsidRPr="000F041D">
              <w:rPr>
                <w:b/>
                <w:lang w:val="fr-FR"/>
              </w:rPr>
              <w:t>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 xml:space="preserve">·        </w:t>
            </w:r>
            <w:r w:rsidR="00DF0384" w:rsidRPr="000F041D">
              <w:rPr>
                <w:lang w:val="fr-FR"/>
              </w:rPr>
              <w:t>La morphine i</w:t>
            </w:r>
            <w:r w:rsidRPr="000F041D">
              <w:rPr>
                <w:lang w:val="fr-FR"/>
              </w:rPr>
              <w:t>ntrath</w:t>
            </w:r>
            <w:r w:rsidR="00DF0384" w:rsidRPr="000F041D">
              <w:rPr>
                <w:lang w:val="fr-FR"/>
              </w:rPr>
              <w:t>é</w:t>
            </w:r>
            <w:r w:rsidRPr="000F041D">
              <w:rPr>
                <w:lang w:val="fr-FR"/>
              </w:rPr>
              <w:t>cal</w:t>
            </w:r>
            <w:r w:rsidR="00DF0384" w:rsidRPr="000F041D">
              <w:rPr>
                <w:lang w:val="fr-FR"/>
              </w:rPr>
              <w:t>e</w:t>
            </w:r>
            <w:r w:rsidR="002D7AF4" w:rsidRPr="000F041D">
              <w:rPr>
                <w:lang w:val="fr-FR"/>
              </w:rPr>
              <w:t xml:space="preserve"> </w:t>
            </w:r>
            <w:r w:rsidR="00DF0384" w:rsidRPr="000F041D">
              <w:rPr>
                <w:lang w:val="fr-FR"/>
              </w:rPr>
              <w:t>inférieure à</w:t>
            </w:r>
            <w:r w:rsidRPr="000F041D">
              <w:rPr>
                <w:lang w:val="fr-FR"/>
              </w:rPr>
              <w:t xml:space="preserve"> 200 µg </w:t>
            </w:r>
            <w:r w:rsidR="00DF0384" w:rsidRPr="000F041D">
              <w:rPr>
                <w:lang w:val="fr-FR"/>
              </w:rPr>
              <w:t>est</w:t>
            </w:r>
            <w:r w:rsidR="002D7AF4" w:rsidRPr="000F041D">
              <w:rPr>
                <w:lang w:val="fr-FR"/>
              </w:rPr>
              <w:t xml:space="preserve"> </w:t>
            </w:r>
            <w:r w:rsidR="00DF0384" w:rsidRPr="000F041D">
              <w:rPr>
                <w:lang w:val="fr-FR"/>
              </w:rPr>
              <w:t>recommandée si le</w:t>
            </w:r>
            <w:r w:rsidRPr="000F041D">
              <w:rPr>
                <w:lang w:val="fr-FR"/>
              </w:rPr>
              <w:t xml:space="preserve"> patient </w:t>
            </w:r>
            <w:r w:rsidR="00DF0384" w:rsidRPr="000F041D">
              <w:rPr>
                <w:lang w:val="fr-FR"/>
              </w:rPr>
              <w:t xml:space="preserve">a reçu une </w:t>
            </w:r>
            <w:r w:rsidRPr="000F041D">
              <w:rPr>
                <w:lang w:val="fr-FR"/>
              </w:rPr>
              <w:t>anesth</w:t>
            </w:r>
            <w:r w:rsidR="00DF0384" w:rsidRPr="000F041D">
              <w:rPr>
                <w:lang w:val="fr-FR"/>
              </w:rPr>
              <w:t>é</w:t>
            </w:r>
            <w:r w:rsidRPr="000F041D">
              <w:rPr>
                <w:lang w:val="fr-FR"/>
              </w:rPr>
              <w:t>si</w:t>
            </w:r>
            <w:r w:rsidR="00DF0384" w:rsidRPr="000F041D">
              <w:rPr>
                <w:lang w:val="fr-FR"/>
              </w:rPr>
              <w:t>e rachidienne</w:t>
            </w:r>
            <w:r w:rsidRPr="000F041D">
              <w:rPr>
                <w:lang w:val="fr-FR"/>
              </w:rPr>
              <w:t xml:space="preserve"> (G</w:t>
            </w:r>
            <w:r w:rsidR="00DF0384" w:rsidRPr="000F041D">
              <w:rPr>
                <w:lang w:val="fr-FR"/>
              </w:rPr>
              <w:t>d</w:t>
            </w:r>
            <w:r w:rsidRPr="000F041D">
              <w:rPr>
                <w:lang w:val="fr-FR"/>
              </w:rPr>
              <w:t xml:space="preserve">R A) </w:t>
            </w:r>
            <w:r w:rsidR="00DF0384" w:rsidRPr="000F041D">
              <w:rPr>
                <w:lang w:val="fr-FR"/>
              </w:rPr>
              <w:t xml:space="preserve">sur la base d’une preuve propre à </w:t>
            </w:r>
            <w:r w:rsidR="003D4187" w:rsidRPr="000F041D">
              <w:rPr>
                <w:lang w:val="fr-FR"/>
              </w:rPr>
              <w:t xml:space="preserve">la procédure </w:t>
            </w:r>
            <w:r w:rsidR="00DF0384" w:rsidRPr="000F041D">
              <w:rPr>
                <w:lang w:val="fr-FR"/>
              </w:rPr>
              <w:t xml:space="preserve">pratiquée pour améliorer l’analgésie postopératoire </w:t>
            </w:r>
            <w:r w:rsidRPr="000F041D">
              <w:rPr>
                <w:lang w:val="fr-FR"/>
              </w:rPr>
              <w:t>(</w:t>
            </w:r>
            <w:r w:rsidR="00DF0384" w:rsidRPr="000F041D">
              <w:rPr>
                <w:lang w:val="fr-FR"/>
              </w:rPr>
              <w:t>NdP</w:t>
            </w:r>
            <w:r w:rsidRPr="000F041D">
              <w:rPr>
                <w:lang w:val="fr-FR"/>
              </w:rPr>
              <w:t xml:space="preserve"> 1)</w:t>
            </w:r>
          </w:p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 xml:space="preserve">·        </w:t>
            </w:r>
            <w:r w:rsidR="00877917" w:rsidRPr="000F041D">
              <w:rPr>
                <w:lang w:val="fr-FR"/>
              </w:rPr>
              <w:t>E</w:t>
            </w:r>
            <w:r w:rsidR="00024DD6" w:rsidRPr="000F041D">
              <w:rPr>
                <w:lang w:val="fr-FR"/>
              </w:rPr>
              <w:t>n raison des effets indésirables</w:t>
            </w:r>
            <w:r w:rsidR="002D7AF4" w:rsidRPr="000F041D">
              <w:rPr>
                <w:lang w:val="fr-FR"/>
              </w:rPr>
              <w:t xml:space="preserve"> </w:t>
            </w:r>
            <w:r w:rsidR="00024DD6" w:rsidRPr="000F041D">
              <w:rPr>
                <w:lang w:val="fr-FR"/>
              </w:rPr>
              <w:t>liés aux opioïdes</w:t>
            </w:r>
            <w:r w:rsidRPr="000F041D">
              <w:rPr>
                <w:lang w:val="fr-FR"/>
              </w:rPr>
              <w:t xml:space="preserve">, </w:t>
            </w:r>
            <w:r w:rsidR="00796602" w:rsidRPr="000F041D">
              <w:rPr>
                <w:lang w:val="fr-FR"/>
              </w:rPr>
              <w:t>dont</w:t>
            </w:r>
            <w:r w:rsidR="00024DD6" w:rsidRPr="000F041D">
              <w:rPr>
                <w:lang w:val="fr-FR"/>
              </w:rPr>
              <w:t xml:space="preserve"> la</w:t>
            </w:r>
            <w:r w:rsidR="00796602" w:rsidRPr="000F041D">
              <w:rPr>
                <w:lang w:val="fr-FR"/>
              </w:rPr>
              <w:t xml:space="preserve"> dépression respiratoire retardée</w:t>
            </w:r>
            <w:r w:rsidRPr="000F041D">
              <w:rPr>
                <w:lang w:val="fr-FR"/>
              </w:rPr>
              <w:t xml:space="preserve">, </w:t>
            </w:r>
            <w:r w:rsidR="00796602" w:rsidRPr="000F041D">
              <w:rPr>
                <w:lang w:val="fr-FR"/>
              </w:rPr>
              <w:t xml:space="preserve">il convient toutefois de prendre en considération des techniques analgésiques </w:t>
            </w:r>
            <w:r w:rsidRPr="000F041D">
              <w:rPr>
                <w:lang w:val="fr-FR"/>
              </w:rPr>
              <w:t>alternative</w:t>
            </w:r>
            <w:r w:rsidR="00796602" w:rsidRPr="000F041D">
              <w:rPr>
                <w:lang w:val="fr-FR"/>
              </w:rPr>
              <w:t>s</w:t>
            </w:r>
          </w:p>
        </w:tc>
      </w:tr>
      <w:tr w:rsidR="00DB13B8" w:rsidRPr="000F041D" w:rsidTr="0087791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0C78FB" w:rsidP="002A3791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lastRenderedPageBreak/>
              <w:t xml:space="preserve">Analgésie opioïde </w:t>
            </w:r>
            <w:r w:rsidR="002A3791" w:rsidRPr="000F041D">
              <w:rPr>
                <w:b/>
                <w:lang w:val="fr-FR"/>
              </w:rPr>
              <w:t>périd</w:t>
            </w:r>
            <w:r w:rsidR="00E27362" w:rsidRPr="000F041D">
              <w:rPr>
                <w:b/>
                <w:lang w:val="fr-FR"/>
              </w:rPr>
              <w:t>ural</w:t>
            </w:r>
            <w:r w:rsidR="00877917" w:rsidRPr="000F041D">
              <w:rPr>
                <w:b/>
                <w:lang w:val="fr-FR"/>
              </w:rPr>
              <w:t>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 xml:space="preserve">·        </w:t>
            </w:r>
            <w:r w:rsidR="00877917" w:rsidRPr="000F041D">
              <w:rPr>
                <w:lang w:val="fr-FR"/>
              </w:rPr>
              <w:t xml:space="preserve">Les opioïdes </w:t>
            </w:r>
            <w:r w:rsidR="002A3791" w:rsidRPr="000F041D">
              <w:rPr>
                <w:lang w:val="fr-FR"/>
              </w:rPr>
              <w:t>périd</w:t>
            </w:r>
            <w:r w:rsidR="00877917" w:rsidRPr="000F041D">
              <w:rPr>
                <w:lang w:val="fr-FR"/>
              </w:rPr>
              <w:t>uraux sont</w:t>
            </w:r>
            <w:r w:rsidRPr="000F041D">
              <w:rPr>
                <w:lang w:val="fr-FR"/>
              </w:rPr>
              <w:t xml:space="preserve"> recomm</w:t>
            </w:r>
            <w:r w:rsidR="00877917" w:rsidRPr="000F041D">
              <w:rPr>
                <w:lang w:val="fr-FR"/>
              </w:rPr>
              <w:t>a</w:t>
            </w:r>
            <w:r w:rsidRPr="000F041D">
              <w:rPr>
                <w:lang w:val="fr-FR"/>
              </w:rPr>
              <w:t>nd</w:t>
            </w:r>
            <w:r w:rsidR="00877917" w:rsidRPr="000F041D">
              <w:rPr>
                <w:lang w:val="fr-FR"/>
              </w:rPr>
              <w:t>és si le</w:t>
            </w:r>
            <w:r w:rsidRPr="000F041D">
              <w:rPr>
                <w:lang w:val="fr-FR"/>
              </w:rPr>
              <w:t xml:space="preserve"> patient </w:t>
            </w:r>
            <w:r w:rsidR="00877917" w:rsidRPr="000F041D">
              <w:rPr>
                <w:lang w:val="fr-FR"/>
              </w:rPr>
              <w:t xml:space="preserve">a reçu une anesthésie </w:t>
            </w:r>
            <w:r w:rsidR="002A3791" w:rsidRPr="000F041D">
              <w:rPr>
                <w:lang w:val="fr-FR"/>
              </w:rPr>
              <w:t>périd</w:t>
            </w:r>
            <w:r w:rsidRPr="000F041D">
              <w:rPr>
                <w:lang w:val="fr-FR"/>
              </w:rPr>
              <w:t>ural</w:t>
            </w:r>
            <w:r w:rsidR="00877917" w:rsidRPr="000F041D">
              <w:rPr>
                <w:lang w:val="fr-FR"/>
              </w:rPr>
              <w:t xml:space="preserve">e </w:t>
            </w:r>
            <w:r w:rsidRPr="000F041D">
              <w:rPr>
                <w:lang w:val="fr-FR"/>
              </w:rPr>
              <w:t>(G</w:t>
            </w:r>
            <w:r w:rsidR="00877917" w:rsidRPr="000F041D">
              <w:rPr>
                <w:lang w:val="fr-FR"/>
              </w:rPr>
              <w:t>d</w:t>
            </w:r>
            <w:r w:rsidRPr="000F041D">
              <w:rPr>
                <w:lang w:val="fr-FR"/>
              </w:rPr>
              <w:t xml:space="preserve">R A) </w:t>
            </w:r>
            <w:r w:rsidR="00877917" w:rsidRPr="000F041D">
              <w:rPr>
                <w:lang w:val="fr-FR"/>
              </w:rPr>
              <w:t xml:space="preserve">sur la base d’une preuve propre à </w:t>
            </w:r>
            <w:r w:rsidR="003D4187" w:rsidRPr="000F041D">
              <w:rPr>
                <w:lang w:val="fr-FR"/>
              </w:rPr>
              <w:t xml:space="preserve">la procédure </w:t>
            </w:r>
            <w:r w:rsidR="00877917" w:rsidRPr="000F041D">
              <w:rPr>
                <w:lang w:val="fr-FR"/>
              </w:rPr>
              <w:t xml:space="preserve">pratiquée pour améliorer l’analgésie postopératoire </w:t>
            </w:r>
            <w:r w:rsidRPr="000F041D">
              <w:rPr>
                <w:lang w:val="fr-FR"/>
              </w:rPr>
              <w:t>(</w:t>
            </w:r>
            <w:r w:rsidR="00877917" w:rsidRPr="000F041D">
              <w:rPr>
                <w:lang w:val="fr-FR"/>
              </w:rPr>
              <w:t>NdP</w:t>
            </w:r>
            <w:r w:rsidRPr="000F041D">
              <w:rPr>
                <w:lang w:val="fr-FR"/>
              </w:rPr>
              <w:t xml:space="preserve"> 1)</w:t>
            </w:r>
          </w:p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 xml:space="preserve">·        </w:t>
            </w:r>
            <w:r w:rsidR="00877917" w:rsidRPr="000F041D">
              <w:rPr>
                <w:lang w:val="fr-FR"/>
              </w:rPr>
              <w:t>En raison des effets indésirables liés aux opioïdes, dont la dépression respiratoire retardée, il convient toutefois de prendre en considération des techniques analgésiques alternatives</w:t>
            </w:r>
          </w:p>
        </w:tc>
      </w:tr>
      <w:tr w:rsidR="00E27362" w:rsidRPr="000F041D" w:rsidTr="008779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E27362" w:rsidRPr="000F041D" w:rsidRDefault="009C1004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t>T</w:t>
            </w:r>
            <w:r w:rsidR="00E27362" w:rsidRPr="000F041D">
              <w:rPr>
                <w:b/>
                <w:lang w:val="fr-FR"/>
              </w:rPr>
              <w:t xml:space="preserve">echniques </w:t>
            </w:r>
            <w:r w:rsidRPr="000F041D">
              <w:rPr>
                <w:b/>
                <w:lang w:val="fr-FR"/>
              </w:rPr>
              <w:t xml:space="preserve">chirurgicales qui </w:t>
            </w:r>
            <w:r w:rsidRPr="000F041D">
              <w:rPr>
                <w:b/>
                <w:bCs/>
                <w:iCs/>
                <w:lang w:val="fr-FR"/>
              </w:rPr>
              <w:t>sont recommandées pour une césarienne</w:t>
            </w:r>
          </w:p>
        </w:tc>
      </w:tr>
      <w:tr w:rsidR="00DB13B8" w:rsidRPr="000F041D" w:rsidTr="0087791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9C1004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t>T</w:t>
            </w:r>
            <w:r w:rsidR="00E27362" w:rsidRPr="000F041D">
              <w:rPr>
                <w:b/>
                <w:lang w:val="fr-FR"/>
              </w:rPr>
              <w:t>echniques</w:t>
            </w:r>
            <w:r w:rsidRPr="000F041D">
              <w:rPr>
                <w:b/>
                <w:lang w:val="fr-FR"/>
              </w:rPr>
              <w:t xml:space="preserve"> chirurgicales </w:t>
            </w:r>
            <w:r w:rsidR="00E27362" w:rsidRPr="000F041D">
              <w:rPr>
                <w:b/>
                <w:lang w:val="fr-FR"/>
              </w:rPr>
              <w:t xml:space="preserve">: </w:t>
            </w:r>
            <w:r w:rsidRPr="000F041D">
              <w:rPr>
                <w:b/>
                <w:lang w:val="fr-FR"/>
              </w:rPr>
              <w:t xml:space="preserve">incision </w:t>
            </w:r>
            <w:r w:rsidR="00E27362" w:rsidRPr="000F041D">
              <w:rPr>
                <w:b/>
                <w:lang w:val="fr-FR"/>
              </w:rPr>
              <w:t>abdominal</w:t>
            </w:r>
            <w:r w:rsidRPr="000F041D">
              <w:rPr>
                <w:b/>
                <w:lang w:val="fr-FR"/>
              </w:rPr>
              <w:t>e transversale et</w:t>
            </w:r>
            <w:r w:rsidR="00E27362" w:rsidRPr="000F041D">
              <w:rPr>
                <w:b/>
                <w:lang w:val="fr-FR"/>
              </w:rPr>
              <w:t xml:space="preserve"> p</w:t>
            </w:r>
            <w:r w:rsidR="000B200F" w:rsidRPr="000F041D">
              <w:rPr>
                <w:b/>
                <w:lang w:val="fr-FR"/>
              </w:rPr>
              <w:t>é</w:t>
            </w:r>
            <w:r w:rsidR="00E27362" w:rsidRPr="000F041D">
              <w:rPr>
                <w:b/>
                <w:lang w:val="fr-FR"/>
              </w:rPr>
              <w:t>rito</w:t>
            </w:r>
            <w:r w:rsidR="000B200F" w:rsidRPr="000F041D">
              <w:rPr>
                <w:b/>
                <w:lang w:val="fr-FR"/>
              </w:rPr>
              <w:t>ine</w:t>
            </w:r>
            <w:r w:rsidR="00614A2D" w:rsidRPr="000F041D">
              <w:rPr>
                <w:b/>
                <w:lang w:val="fr-FR"/>
              </w:rPr>
              <w:t xml:space="preserve"> non fermé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>·       </w:t>
            </w:r>
            <w:r w:rsidR="00E06B5D" w:rsidRPr="000F041D">
              <w:rPr>
                <w:lang w:val="fr-FR"/>
              </w:rPr>
              <w:t>L’incision abdominale transversale</w:t>
            </w:r>
            <w:r w:rsidR="00E06B5D" w:rsidRPr="000F041D">
              <w:rPr>
                <w:b/>
                <w:lang w:val="fr-FR"/>
              </w:rPr>
              <w:t xml:space="preserve"> </w:t>
            </w:r>
            <w:r w:rsidR="00E06B5D" w:rsidRPr="000F041D">
              <w:rPr>
                <w:lang w:val="fr-FR"/>
              </w:rPr>
              <w:t>est</w:t>
            </w:r>
            <w:r w:rsidRPr="000F041D">
              <w:rPr>
                <w:lang w:val="fr-FR"/>
              </w:rPr>
              <w:t xml:space="preserve"> recomm</w:t>
            </w:r>
            <w:r w:rsidR="00E06B5D" w:rsidRPr="000F041D">
              <w:rPr>
                <w:lang w:val="fr-FR"/>
              </w:rPr>
              <w:t>a</w:t>
            </w:r>
            <w:r w:rsidRPr="000F041D">
              <w:rPr>
                <w:lang w:val="fr-FR"/>
              </w:rPr>
              <w:t>nd</w:t>
            </w:r>
            <w:r w:rsidR="00E06B5D" w:rsidRPr="000F041D">
              <w:rPr>
                <w:lang w:val="fr-FR"/>
              </w:rPr>
              <w:t>ée</w:t>
            </w:r>
            <w:r w:rsidR="002D7AF4" w:rsidRPr="000F041D">
              <w:rPr>
                <w:lang w:val="fr-FR"/>
              </w:rPr>
              <w:t xml:space="preserve"> </w:t>
            </w:r>
            <w:r w:rsidR="00E06B5D" w:rsidRPr="000F041D">
              <w:rPr>
                <w:lang w:val="fr-FR"/>
              </w:rPr>
              <w:t>plutôt que l’</w:t>
            </w:r>
            <w:r w:rsidRPr="000F041D">
              <w:rPr>
                <w:lang w:val="fr-FR"/>
              </w:rPr>
              <w:t xml:space="preserve">incision </w:t>
            </w:r>
            <w:r w:rsidR="00E06B5D" w:rsidRPr="000F041D">
              <w:rPr>
                <w:lang w:val="fr-FR"/>
              </w:rPr>
              <w:t xml:space="preserve">verticale </w:t>
            </w:r>
            <w:r w:rsidRPr="000F041D">
              <w:rPr>
                <w:lang w:val="fr-FR"/>
              </w:rPr>
              <w:t>(G</w:t>
            </w:r>
            <w:r w:rsidR="00E06B5D" w:rsidRPr="000F041D">
              <w:rPr>
                <w:lang w:val="fr-FR"/>
              </w:rPr>
              <w:t>d</w:t>
            </w:r>
            <w:r w:rsidRPr="000F041D">
              <w:rPr>
                <w:lang w:val="fr-FR"/>
              </w:rPr>
              <w:t xml:space="preserve">R A, </w:t>
            </w:r>
            <w:r w:rsidR="00E06B5D" w:rsidRPr="000F041D">
              <w:rPr>
                <w:lang w:val="fr-FR"/>
              </w:rPr>
              <w:t>NdP</w:t>
            </w:r>
            <w:r w:rsidRPr="000F041D">
              <w:rPr>
                <w:lang w:val="fr-FR"/>
              </w:rPr>
              <w:t xml:space="preserve"> 1). </w:t>
            </w:r>
            <w:r w:rsidR="00E06B5D" w:rsidRPr="000F041D">
              <w:rPr>
                <w:lang w:val="fr-FR"/>
              </w:rPr>
              <w:t>Parmi les</w:t>
            </w:r>
            <w:r w:rsidRPr="000F041D">
              <w:rPr>
                <w:lang w:val="fr-FR"/>
              </w:rPr>
              <w:t xml:space="preserve"> incisions </w:t>
            </w:r>
            <w:r w:rsidR="00E06B5D" w:rsidRPr="000F041D">
              <w:rPr>
                <w:lang w:val="fr-FR"/>
              </w:rPr>
              <w:t>transversale</w:t>
            </w:r>
            <w:r w:rsidR="00D61C7A" w:rsidRPr="000F041D">
              <w:rPr>
                <w:lang w:val="fr-FR"/>
              </w:rPr>
              <w:t>s</w:t>
            </w:r>
            <w:r w:rsidR="00E06B5D" w:rsidRPr="000F041D">
              <w:rPr>
                <w:lang w:val="fr-FR"/>
              </w:rPr>
              <w:t>, l’incision</w:t>
            </w:r>
            <w:r w:rsidR="00D61C7A" w:rsidRPr="000F041D">
              <w:rPr>
                <w:lang w:val="fr-FR"/>
              </w:rPr>
              <w:t xml:space="preserve"> de</w:t>
            </w:r>
            <w:r w:rsidR="002D7AF4" w:rsidRPr="000F041D">
              <w:rPr>
                <w:lang w:val="fr-FR"/>
              </w:rPr>
              <w:t xml:space="preserve"> </w:t>
            </w:r>
            <w:r w:rsidRPr="000F041D">
              <w:rPr>
                <w:lang w:val="fr-FR"/>
              </w:rPr>
              <w:t xml:space="preserve">Joel-Cohen </w:t>
            </w:r>
            <w:r w:rsidR="00D61C7A" w:rsidRPr="000F041D">
              <w:rPr>
                <w:lang w:val="fr-FR"/>
              </w:rPr>
              <w:t>et les</w:t>
            </w:r>
            <w:r w:rsidRPr="000F041D">
              <w:rPr>
                <w:lang w:val="fr-FR"/>
              </w:rPr>
              <w:t xml:space="preserve"> modifications </w:t>
            </w:r>
            <w:r w:rsidR="00D61C7A" w:rsidRPr="000F041D">
              <w:rPr>
                <w:lang w:val="fr-FR"/>
              </w:rPr>
              <w:t>similaires sont</w:t>
            </w:r>
            <w:r w:rsidRPr="000F041D">
              <w:rPr>
                <w:lang w:val="fr-FR"/>
              </w:rPr>
              <w:t xml:space="preserve"> sup</w:t>
            </w:r>
            <w:r w:rsidR="00FB6A8E" w:rsidRPr="000F041D">
              <w:rPr>
                <w:lang w:val="fr-FR"/>
              </w:rPr>
              <w:t>é</w:t>
            </w:r>
            <w:r w:rsidRPr="000F041D">
              <w:rPr>
                <w:lang w:val="fr-FR"/>
              </w:rPr>
              <w:t>ri</w:t>
            </w:r>
            <w:r w:rsidR="00FB6A8E" w:rsidRPr="000F041D">
              <w:rPr>
                <w:lang w:val="fr-FR"/>
              </w:rPr>
              <w:t>eures à</w:t>
            </w:r>
            <w:r w:rsidR="002D7AF4" w:rsidRPr="000F041D">
              <w:rPr>
                <w:lang w:val="fr-FR"/>
              </w:rPr>
              <w:t xml:space="preserve"> </w:t>
            </w:r>
            <w:r w:rsidR="00FB6A8E" w:rsidRPr="000F041D">
              <w:rPr>
                <w:lang w:val="fr-FR"/>
              </w:rPr>
              <w:t>l’</w:t>
            </w:r>
            <w:r w:rsidRPr="000F041D">
              <w:rPr>
                <w:lang w:val="fr-FR"/>
              </w:rPr>
              <w:t xml:space="preserve">incision </w:t>
            </w:r>
            <w:r w:rsidR="00FB6A8E" w:rsidRPr="000F041D">
              <w:rPr>
                <w:lang w:val="fr-FR"/>
              </w:rPr>
              <w:t>de Pfannenstiel pour des résultats</w:t>
            </w:r>
            <w:r w:rsidR="002D7AF4" w:rsidRPr="000F041D">
              <w:rPr>
                <w:lang w:val="fr-FR"/>
              </w:rPr>
              <w:t xml:space="preserve"> </w:t>
            </w:r>
            <w:r w:rsidR="00FB6A8E" w:rsidRPr="000F041D">
              <w:rPr>
                <w:lang w:val="fr-FR"/>
              </w:rPr>
              <w:t>liés à la douleur</w:t>
            </w:r>
            <w:r w:rsidRPr="000F041D">
              <w:rPr>
                <w:lang w:val="fr-FR"/>
              </w:rPr>
              <w:t xml:space="preserve"> postop</w:t>
            </w:r>
            <w:r w:rsidR="00FB6A8E" w:rsidRPr="000F041D">
              <w:rPr>
                <w:lang w:val="fr-FR"/>
              </w:rPr>
              <w:t>é</w:t>
            </w:r>
            <w:r w:rsidRPr="000F041D">
              <w:rPr>
                <w:lang w:val="fr-FR"/>
              </w:rPr>
              <w:t>rat</w:t>
            </w:r>
            <w:r w:rsidR="00FB6A8E" w:rsidRPr="000F041D">
              <w:rPr>
                <w:lang w:val="fr-FR"/>
              </w:rPr>
              <w:t xml:space="preserve">oire </w:t>
            </w:r>
            <w:r w:rsidRPr="000F041D">
              <w:rPr>
                <w:lang w:val="fr-FR"/>
              </w:rPr>
              <w:t>(G</w:t>
            </w:r>
            <w:r w:rsidR="00FB6A8E" w:rsidRPr="000F041D">
              <w:rPr>
                <w:lang w:val="fr-FR"/>
              </w:rPr>
              <w:t>d</w:t>
            </w:r>
            <w:r w:rsidRPr="000F041D">
              <w:rPr>
                <w:lang w:val="fr-FR"/>
              </w:rPr>
              <w:t xml:space="preserve">R A, </w:t>
            </w:r>
            <w:r w:rsidR="00FB6A8E" w:rsidRPr="000F041D">
              <w:rPr>
                <w:lang w:val="fr-FR"/>
              </w:rPr>
              <w:t>NdP</w:t>
            </w:r>
            <w:r w:rsidRPr="000F041D">
              <w:rPr>
                <w:lang w:val="fr-FR"/>
              </w:rPr>
              <w:t xml:space="preserve"> 1)</w:t>
            </w:r>
          </w:p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 xml:space="preserve">·        </w:t>
            </w:r>
            <w:r w:rsidR="006F03F9" w:rsidRPr="000F041D">
              <w:rPr>
                <w:lang w:val="fr-FR"/>
              </w:rPr>
              <w:t>Il est recommandé de ne pas fermer le</w:t>
            </w:r>
            <w:r w:rsidRPr="000F041D">
              <w:rPr>
                <w:lang w:val="fr-FR"/>
              </w:rPr>
              <w:t xml:space="preserve"> p</w:t>
            </w:r>
            <w:r w:rsidR="006F03F9" w:rsidRPr="000F041D">
              <w:rPr>
                <w:lang w:val="fr-FR"/>
              </w:rPr>
              <w:t>é</w:t>
            </w:r>
            <w:r w:rsidRPr="000F041D">
              <w:rPr>
                <w:lang w:val="fr-FR"/>
              </w:rPr>
              <w:t>rito</w:t>
            </w:r>
            <w:r w:rsidR="006F03F9" w:rsidRPr="000F041D">
              <w:rPr>
                <w:lang w:val="fr-FR"/>
              </w:rPr>
              <w:t>ine</w:t>
            </w:r>
            <w:r w:rsidRPr="000F041D">
              <w:rPr>
                <w:lang w:val="fr-FR"/>
              </w:rPr>
              <w:t xml:space="preserve"> (G</w:t>
            </w:r>
            <w:r w:rsidR="006F03F9" w:rsidRPr="000F041D">
              <w:rPr>
                <w:lang w:val="fr-FR"/>
              </w:rPr>
              <w:t>d</w:t>
            </w:r>
            <w:r w:rsidRPr="000F041D">
              <w:rPr>
                <w:lang w:val="fr-FR"/>
              </w:rPr>
              <w:t>R A)</w:t>
            </w:r>
            <w:r w:rsidR="006F03F9" w:rsidRPr="000F041D">
              <w:rPr>
                <w:lang w:val="fr-FR"/>
              </w:rPr>
              <w:t xml:space="preserve"> sur la base d’une preuve propre à </w:t>
            </w:r>
            <w:r w:rsidR="003D4187" w:rsidRPr="000F041D">
              <w:rPr>
                <w:lang w:val="fr-FR"/>
              </w:rPr>
              <w:t xml:space="preserve">la procédure </w:t>
            </w:r>
            <w:r w:rsidR="006F03F9" w:rsidRPr="000F041D">
              <w:rPr>
                <w:lang w:val="fr-FR"/>
              </w:rPr>
              <w:t xml:space="preserve">pratiquée pour l’analgésie postopératoire </w:t>
            </w:r>
            <w:r w:rsidRPr="000F041D">
              <w:rPr>
                <w:lang w:val="fr-FR"/>
              </w:rPr>
              <w:t>(</w:t>
            </w:r>
            <w:r w:rsidR="006F03F9" w:rsidRPr="000F041D">
              <w:rPr>
                <w:lang w:val="fr-FR"/>
              </w:rPr>
              <w:t>NdP</w:t>
            </w:r>
            <w:r w:rsidRPr="000F041D">
              <w:rPr>
                <w:lang w:val="fr-FR"/>
              </w:rPr>
              <w:t xml:space="preserve"> 1)</w:t>
            </w:r>
          </w:p>
        </w:tc>
      </w:tr>
      <w:tr w:rsidR="00E27362" w:rsidRPr="000F041D" w:rsidTr="008779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E27362" w:rsidRPr="000F041D" w:rsidRDefault="006F03F9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t>I</w:t>
            </w:r>
            <w:r w:rsidR="00E27362" w:rsidRPr="000F041D">
              <w:rPr>
                <w:b/>
                <w:lang w:val="fr-FR"/>
              </w:rPr>
              <w:t>nterventions</w:t>
            </w:r>
            <w:r w:rsidR="00BC7F64" w:rsidRPr="000F041D">
              <w:rPr>
                <w:b/>
                <w:lang w:val="fr-FR"/>
              </w:rPr>
              <w:t xml:space="preserve"> </w:t>
            </w:r>
            <w:r w:rsidRPr="000F041D">
              <w:rPr>
                <w:b/>
                <w:bCs/>
                <w:iCs/>
                <w:lang w:val="fr-FR"/>
              </w:rPr>
              <w:t xml:space="preserve">peropératoires </w:t>
            </w:r>
            <w:r w:rsidRPr="000F041D">
              <w:rPr>
                <w:b/>
                <w:lang w:val="fr-FR"/>
              </w:rPr>
              <w:t xml:space="preserve">qui </w:t>
            </w:r>
            <w:r w:rsidRPr="000F041D">
              <w:rPr>
                <w:b/>
                <w:bCs/>
                <w:iCs/>
                <w:lang w:val="fr-FR"/>
              </w:rPr>
              <w:t>sont recommandées pour une césarienne</w:t>
            </w:r>
          </w:p>
          <w:p w:rsidR="009A4DCD" w:rsidRPr="000F041D" w:rsidRDefault="009A4DCD" w:rsidP="009A4DCD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>Remarque </w:t>
            </w:r>
            <w:r w:rsidR="00E27362" w:rsidRPr="000F041D">
              <w:rPr>
                <w:lang w:val="fr-FR"/>
              </w:rPr>
              <w:t>:</w:t>
            </w:r>
            <w:r w:rsidRPr="000F041D">
              <w:rPr>
                <w:lang w:val="fr-FR"/>
              </w:rPr>
              <w:t xml:space="preserve"> sauf indication contraire, le terme « peropératoire » se réfère à des interventions appliquées après l’incision et avant la fermeture de la plaie. </w:t>
            </w:r>
            <w:r w:rsidR="00831821" w:rsidRPr="000F041D">
              <w:rPr>
                <w:lang w:val="fr-FR"/>
              </w:rPr>
              <w:t>En ce qui concerne</w:t>
            </w:r>
            <w:r w:rsidRPr="000F041D">
              <w:rPr>
                <w:lang w:val="fr-FR"/>
              </w:rPr>
              <w:t xml:space="preserve"> la césarienne, l’expression « </w:t>
            </w:r>
            <w:r w:rsidR="00F51CE0" w:rsidRPr="000F041D">
              <w:rPr>
                <w:lang w:val="fr-FR"/>
              </w:rPr>
              <w:t>après l’accouchement » se réfère à l’administration après le clampage du cordon ombilical et la naissance du bébé.</w:t>
            </w:r>
          </w:p>
          <w:p w:rsidR="00E27362" w:rsidRPr="000F041D" w:rsidRDefault="009A4DCD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>Remarque : les analgésiques doivent être administrés au moment approprié (à titre préopératoire ou peropératoire) pour assurer une analgésie suffisante au début de la période de rétablissement.</w:t>
            </w:r>
          </w:p>
        </w:tc>
      </w:tr>
      <w:tr w:rsidR="00DB13B8" w:rsidRPr="000F041D" w:rsidTr="0087791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F51CE0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t xml:space="preserve">AINS </w:t>
            </w:r>
            <w:r w:rsidR="00E27362" w:rsidRPr="000F041D">
              <w:rPr>
                <w:b/>
                <w:lang w:val="fr-FR"/>
              </w:rPr>
              <w:t xml:space="preserve">IV </w:t>
            </w:r>
            <w:r w:rsidRPr="000F041D">
              <w:rPr>
                <w:b/>
                <w:lang w:val="fr-FR"/>
              </w:rPr>
              <w:t>après l’accouchement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E27362" w:rsidP="00AB7C51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 xml:space="preserve">·        </w:t>
            </w:r>
            <w:r w:rsidR="00F51CE0" w:rsidRPr="000F041D">
              <w:rPr>
                <w:lang w:val="fr-FR"/>
              </w:rPr>
              <w:t>Les AINS IV après l’accouchement sont</w:t>
            </w:r>
            <w:r w:rsidRPr="000F041D">
              <w:rPr>
                <w:lang w:val="fr-FR"/>
              </w:rPr>
              <w:t xml:space="preserve"> recomm</w:t>
            </w:r>
            <w:r w:rsidR="00F51CE0" w:rsidRPr="000F041D">
              <w:rPr>
                <w:lang w:val="fr-FR"/>
              </w:rPr>
              <w:t>a</w:t>
            </w:r>
            <w:r w:rsidRPr="000F041D">
              <w:rPr>
                <w:lang w:val="fr-FR"/>
              </w:rPr>
              <w:t>nd</w:t>
            </w:r>
            <w:r w:rsidR="00F51CE0" w:rsidRPr="000F041D">
              <w:rPr>
                <w:lang w:val="fr-FR"/>
              </w:rPr>
              <w:t>és</w:t>
            </w:r>
            <w:r w:rsidRPr="000F041D">
              <w:rPr>
                <w:lang w:val="fr-FR"/>
              </w:rPr>
              <w:t xml:space="preserve"> (G</w:t>
            </w:r>
            <w:r w:rsidR="00F51CE0" w:rsidRPr="000F041D">
              <w:rPr>
                <w:lang w:val="fr-FR"/>
              </w:rPr>
              <w:t>d</w:t>
            </w:r>
            <w:r w:rsidRPr="000F041D">
              <w:rPr>
                <w:lang w:val="fr-FR"/>
              </w:rPr>
              <w:t xml:space="preserve">R A) </w:t>
            </w:r>
            <w:r w:rsidR="00F51CE0" w:rsidRPr="000F041D">
              <w:rPr>
                <w:lang w:val="fr-FR"/>
              </w:rPr>
              <w:t xml:space="preserve">sur la base </w:t>
            </w:r>
            <w:r w:rsidR="00030D97" w:rsidRPr="000F041D">
              <w:rPr>
                <w:lang w:val="fr-FR"/>
              </w:rPr>
              <w:t>de la</w:t>
            </w:r>
            <w:r w:rsidR="00F51CE0" w:rsidRPr="000F041D">
              <w:rPr>
                <w:lang w:val="fr-FR"/>
              </w:rPr>
              <w:t xml:space="preserve"> preuve propre à </w:t>
            </w:r>
            <w:r w:rsidR="003D4187" w:rsidRPr="000F041D">
              <w:rPr>
                <w:lang w:val="fr-FR"/>
              </w:rPr>
              <w:t xml:space="preserve">la procédure </w:t>
            </w:r>
            <w:r w:rsidR="00F51CE0" w:rsidRPr="000F041D">
              <w:rPr>
                <w:lang w:val="fr-FR"/>
              </w:rPr>
              <w:t xml:space="preserve">pratiquée </w:t>
            </w:r>
            <w:r w:rsidRPr="000F041D">
              <w:rPr>
                <w:lang w:val="fr-FR"/>
              </w:rPr>
              <w:t>(</w:t>
            </w:r>
            <w:r w:rsidR="00F51CE0" w:rsidRPr="000F041D">
              <w:rPr>
                <w:lang w:val="fr-FR"/>
              </w:rPr>
              <w:t>NdP</w:t>
            </w:r>
            <w:r w:rsidRPr="000F041D">
              <w:rPr>
                <w:lang w:val="fr-FR"/>
              </w:rPr>
              <w:t xml:space="preserve"> 1), </w:t>
            </w:r>
            <w:r w:rsidR="00030D97" w:rsidRPr="000F041D">
              <w:rPr>
                <w:lang w:val="fr-FR"/>
              </w:rPr>
              <w:t xml:space="preserve">même chez les femmes </w:t>
            </w:r>
            <w:r w:rsidR="00CD595A" w:rsidRPr="000F041D">
              <w:rPr>
                <w:lang w:val="fr-FR"/>
              </w:rPr>
              <w:t>allaitantes</w:t>
            </w:r>
            <w:r w:rsidRPr="000F041D">
              <w:rPr>
                <w:lang w:val="fr-FR"/>
              </w:rPr>
              <w:t xml:space="preserve"> (</w:t>
            </w:r>
            <w:r w:rsidR="00AB7C51" w:rsidRPr="000F041D">
              <w:rPr>
                <w:lang w:val="fr-FR"/>
              </w:rPr>
              <w:t>NdP</w:t>
            </w:r>
            <w:r w:rsidRPr="000F041D">
              <w:rPr>
                <w:lang w:val="fr-FR"/>
              </w:rPr>
              <w:t xml:space="preserve"> 3)</w:t>
            </w:r>
          </w:p>
        </w:tc>
      </w:tr>
      <w:tr w:rsidR="00DB13B8" w:rsidRPr="000F041D" w:rsidTr="0087791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AB7C51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t>P</w:t>
            </w:r>
            <w:r w:rsidR="00E27362" w:rsidRPr="000F041D">
              <w:rPr>
                <w:b/>
                <w:lang w:val="fr-FR"/>
              </w:rPr>
              <w:t>arac</w:t>
            </w:r>
            <w:r w:rsidR="000F297D" w:rsidRPr="000F041D">
              <w:rPr>
                <w:b/>
                <w:lang w:val="fr-FR"/>
              </w:rPr>
              <w:t>é</w:t>
            </w:r>
            <w:r w:rsidR="00E27362" w:rsidRPr="000F041D">
              <w:rPr>
                <w:b/>
                <w:lang w:val="fr-FR"/>
              </w:rPr>
              <w:t>tamol</w:t>
            </w:r>
            <w:r w:rsidRPr="000F041D">
              <w:rPr>
                <w:b/>
                <w:lang w:val="fr-FR"/>
              </w:rPr>
              <w:t xml:space="preserve"> IV après l’accouchement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 xml:space="preserve">·        </w:t>
            </w:r>
            <w:r w:rsidR="000F297D" w:rsidRPr="000F041D">
              <w:rPr>
                <w:lang w:val="fr-FR"/>
              </w:rPr>
              <w:t>Le</w:t>
            </w:r>
            <w:r w:rsidRPr="000F041D">
              <w:rPr>
                <w:lang w:val="fr-FR"/>
              </w:rPr>
              <w:t xml:space="preserve"> parac</w:t>
            </w:r>
            <w:r w:rsidR="000F297D" w:rsidRPr="000F041D">
              <w:rPr>
                <w:lang w:val="fr-FR"/>
              </w:rPr>
              <w:t>é</w:t>
            </w:r>
            <w:r w:rsidRPr="000F041D">
              <w:rPr>
                <w:lang w:val="fr-FR"/>
              </w:rPr>
              <w:t xml:space="preserve">tamol </w:t>
            </w:r>
            <w:r w:rsidR="000F297D" w:rsidRPr="000F041D">
              <w:rPr>
                <w:lang w:val="fr-FR"/>
              </w:rPr>
              <w:t xml:space="preserve">après l’accouchement est recommandé </w:t>
            </w:r>
            <w:r w:rsidRPr="000F041D">
              <w:rPr>
                <w:lang w:val="fr-FR"/>
              </w:rPr>
              <w:t>(G</w:t>
            </w:r>
            <w:r w:rsidR="000F297D" w:rsidRPr="000F041D">
              <w:rPr>
                <w:lang w:val="fr-FR"/>
              </w:rPr>
              <w:t>d</w:t>
            </w:r>
            <w:r w:rsidRPr="000F041D">
              <w:rPr>
                <w:lang w:val="fr-FR"/>
              </w:rPr>
              <w:t>R</w:t>
            </w:r>
            <w:r w:rsidR="000F297D" w:rsidRPr="000F041D">
              <w:rPr>
                <w:lang w:val="fr-FR"/>
              </w:rPr>
              <w:t> </w:t>
            </w:r>
            <w:r w:rsidRPr="000F041D">
              <w:rPr>
                <w:lang w:val="fr-FR"/>
              </w:rPr>
              <w:t xml:space="preserve">A) </w:t>
            </w:r>
            <w:r w:rsidR="000F297D" w:rsidRPr="000F041D">
              <w:rPr>
                <w:lang w:val="fr-FR"/>
              </w:rPr>
              <w:t xml:space="preserve">sur la base de la preuve propre à </w:t>
            </w:r>
            <w:r w:rsidR="003D4187" w:rsidRPr="000F041D">
              <w:rPr>
                <w:lang w:val="fr-FR"/>
              </w:rPr>
              <w:t>la procédure</w:t>
            </w:r>
            <w:r w:rsidR="000F297D" w:rsidRPr="000F041D">
              <w:rPr>
                <w:lang w:val="fr-FR"/>
              </w:rPr>
              <w:t xml:space="preserve"> pratiquée </w:t>
            </w:r>
            <w:r w:rsidRPr="000F041D">
              <w:rPr>
                <w:lang w:val="fr-FR"/>
              </w:rPr>
              <w:t>(</w:t>
            </w:r>
            <w:r w:rsidR="000F297D" w:rsidRPr="000F041D">
              <w:rPr>
                <w:lang w:val="fr-FR"/>
              </w:rPr>
              <w:t>NdP </w:t>
            </w:r>
            <w:r w:rsidRPr="000F041D">
              <w:rPr>
                <w:lang w:val="fr-FR"/>
              </w:rPr>
              <w:t>1)</w:t>
            </w:r>
          </w:p>
        </w:tc>
      </w:tr>
      <w:tr w:rsidR="00DB13B8" w:rsidRPr="000F041D" w:rsidTr="0087791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4218D0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t>Bloc</w:t>
            </w:r>
            <w:r w:rsidR="00341148" w:rsidRPr="000F041D">
              <w:rPr>
                <w:b/>
                <w:lang w:val="fr-FR"/>
              </w:rPr>
              <w:t>s</w:t>
            </w:r>
            <w:r w:rsidR="00E27362" w:rsidRPr="000F041D">
              <w:rPr>
                <w:b/>
                <w:lang w:val="fr-FR"/>
              </w:rPr>
              <w:t xml:space="preserve"> ilio</w:t>
            </w:r>
            <w:r w:rsidRPr="000F041D">
              <w:rPr>
                <w:b/>
                <w:lang w:val="fr-FR"/>
              </w:rPr>
              <w:t>-</w:t>
            </w:r>
            <w:r w:rsidR="00E27362" w:rsidRPr="000F041D">
              <w:rPr>
                <w:b/>
                <w:lang w:val="fr-FR"/>
              </w:rPr>
              <w:t>hypogastri</w:t>
            </w:r>
            <w:r w:rsidRPr="000F041D">
              <w:rPr>
                <w:b/>
                <w:lang w:val="fr-FR"/>
              </w:rPr>
              <w:t>que</w:t>
            </w:r>
            <w:r w:rsidR="002D7AF4" w:rsidRPr="000F041D">
              <w:rPr>
                <w:b/>
                <w:lang w:val="fr-FR"/>
              </w:rPr>
              <w:t xml:space="preserve"> </w:t>
            </w:r>
            <w:r w:rsidRPr="000F041D">
              <w:rPr>
                <w:b/>
                <w:lang w:val="fr-FR"/>
              </w:rPr>
              <w:t>e</w:t>
            </w:r>
            <w:r w:rsidR="00341148" w:rsidRPr="000F041D">
              <w:rPr>
                <w:b/>
                <w:lang w:val="fr-FR"/>
              </w:rPr>
              <w:t>t</w:t>
            </w:r>
            <w:r w:rsidR="00E27362" w:rsidRPr="000F041D">
              <w:rPr>
                <w:b/>
                <w:lang w:val="fr-FR"/>
              </w:rPr>
              <w:t xml:space="preserve"> ilio</w:t>
            </w:r>
            <w:r w:rsidRPr="000F041D">
              <w:rPr>
                <w:b/>
                <w:lang w:val="fr-FR"/>
              </w:rPr>
              <w:t>-</w:t>
            </w:r>
            <w:r w:rsidR="00E27362" w:rsidRPr="000F041D">
              <w:rPr>
                <w:b/>
                <w:lang w:val="fr-FR"/>
              </w:rPr>
              <w:t xml:space="preserve">inguinal </w:t>
            </w:r>
            <w:r w:rsidR="00341148" w:rsidRPr="000F041D">
              <w:rPr>
                <w:b/>
                <w:lang w:val="fr-FR"/>
              </w:rPr>
              <w:t>après l’accouchement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E27362" w:rsidP="00BC7F64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 xml:space="preserve">·        </w:t>
            </w:r>
            <w:r w:rsidR="00341148" w:rsidRPr="000F041D">
              <w:rPr>
                <w:lang w:val="fr-FR"/>
              </w:rPr>
              <w:t>Les</w:t>
            </w:r>
            <w:r w:rsidR="00167761" w:rsidRPr="000F041D">
              <w:rPr>
                <w:lang w:val="fr-FR"/>
              </w:rPr>
              <w:t xml:space="preserve"> bloc</w:t>
            </w:r>
            <w:r w:rsidR="00BC7F64" w:rsidRPr="000F041D">
              <w:rPr>
                <w:lang w:val="fr-FR"/>
              </w:rPr>
              <w:t xml:space="preserve">s </w:t>
            </w:r>
            <w:r w:rsidRPr="000F041D">
              <w:rPr>
                <w:lang w:val="fr-FR"/>
              </w:rPr>
              <w:t>ilio</w:t>
            </w:r>
            <w:r w:rsidR="00167761" w:rsidRPr="000F041D">
              <w:rPr>
                <w:lang w:val="fr-FR"/>
              </w:rPr>
              <w:t>-</w:t>
            </w:r>
            <w:r w:rsidRPr="000F041D">
              <w:rPr>
                <w:lang w:val="fr-FR"/>
              </w:rPr>
              <w:t>hypogastri</w:t>
            </w:r>
            <w:r w:rsidR="00167761" w:rsidRPr="000F041D">
              <w:rPr>
                <w:lang w:val="fr-FR"/>
              </w:rPr>
              <w:t>ques et</w:t>
            </w:r>
            <w:r w:rsidRPr="000F041D">
              <w:rPr>
                <w:lang w:val="fr-FR"/>
              </w:rPr>
              <w:t xml:space="preserve"> ili</w:t>
            </w:r>
            <w:r w:rsidR="00BC7F64" w:rsidRPr="000F041D">
              <w:rPr>
                <w:lang w:val="fr-FR"/>
              </w:rPr>
              <w:t>o-</w:t>
            </w:r>
            <w:r w:rsidRPr="000F041D">
              <w:rPr>
                <w:lang w:val="fr-FR"/>
              </w:rPr>
              <w:t>inguina</w:t>
            </w:r>
            <w:r w:rsidR="00167761" w:rsidRPr="000F041D">
              <w:rPr>
                <w:lang w:val="fr-FR"/>
              </w:rPr>
              <w:t>ux bilatéraux</w:t>
            </w:r>
            <w:r w:rsidR="002D7AF4" w:rsidRPr="000F041D">
              <w:rPr>
                <w:lang w:val="fr-FR"/>
              </w:rPr>
              <w:t xml:space="preserve"> </w:t>
            </w:r>
            <w:r w:rsidR="00167761" w:rsidRPr="000F041D">
              <w:rPr>
                <w:lang w:val="fr-FR"/>
              </w:rPr>
              <w:t xml:space="preserve">sont </w:t>
            </w:r>
            <w:r w:rsidRPr="000F041D">
              <w:rPr>
                <w:lang w:val="fr-FR"/>
              </w:rPr>
              <w:t>recomm</w:t>
            </w:r>
            <w:r w:rsidR="00167761" w:rsidRPr="000F041D">
              <w:rPr>
                <w:lang w:val="fr-FR"/>
              </w:rPr>
              <w:t>a</w:t>
            </w:r>
            <w:r w:rsidRPr="000F041D">
              <w:rPr>
                <w:lang w:val="fr-FR"/>
              </w:rPr>
              <w:t>nd</w:t>
            </w:r>
            <w:r w:rsidR="00167761" w:rsidRPr="000F041D">
              <w:rPr>
                <w:lang w:val="fr-FR"/>
              </w:rPr>
              <w:t>és</w:t>
            </w:r>
            <w:r w:rsidRPr="000F041D">
              <w:rPr>
                <w:lang w:val="fr-FR"/>
              </w:rPr>
              <w:t xml:space="preserve"> (G</w:t>
            </w:r>
            <w:r w:rsidR="00167761" w:rsidRPr="000F041D">
              <w:rPr>
                <w:lang w:val="fr-FR"/>
              </w:rPr>
              <w:t>d</w:t>
            </w:r>
            <w:r w:rsidRPr="000F041D">
              <w:rPr>
                <w:lang w:val="fr-FR"/>
              </w:rPr>
              <w:t>R A</w:t>
            </w:r>
            <w:r w:rsidR="00341148" w:rsidRPr="000F041D">
              <w:rPr>
                <w:lang w:val="fr-FR"/>
              </w:rPr>
              <w:t>)</w:t>
            </w:r>
            <w:r w:rsidR="00167761" w:rsidRPr="000F041D">
              <w:rPr>
                <w:lang w:val="fr-FR"/>
              </w:rPr>
              <w:t xml:space="preserve"> sur la base de la preuve propre à la procédure pratiquée </w:t>
            </w:r>
            <w:r w:rsidRPr="000F041D">
              <w:rPr>
                <w:lang w:val="fr-FR"/>
              </w:rPr>
              <w:t>(</w:t>
            </w:r>
            <w:r w:rsidR="00167761" w:rsidRPr="000F041D">
              <w:rPr>
                <w:lang w:val="fr-FR"/>
              </w:rPr>
              <w:t>NdP </w:t>
            </w:r>
            <w:r w:rsidRPr="000F041D">
              <w:rPr>
                <w:lang w:val="fr-FR"/>
              </w:rPr>
              <w:t>1)</w:t>
            </w:r>
          </w:p>
        </w:tc>
      </w:tr>
      <w:tr w:rsidR="00DB13B8" w:rsidRPr="000F041D" w:rsidTr="0087791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341148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t>Blocs TAP bilatéraux après l’accouchement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 xml:space="preserve">·        </w:t>
            </w:r>
            <w:r w:rsidR="000061FB" w:rsidRPr="000F041D">
              <w:rPr>
                <w:lang w:val="fr-FR"/>
              </w:rPr>
              <w:t>Les blocs TAP bilatéraux sont recommandés (GdR A) sur la base de la preuve propre à la procédure pratiquée pour l’analgésie postopératoire (NdP 1)</w:t>
            </w:r>
          </w:p>
        </w:tc>
      </w:tr>
      <w:tr w:rsidR="00DB13B8" w:rsidRPr="000F041D" w:rsidTr="0087791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0061FB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t>I</w:t>
            </w:r>
            <w:r w:rsidR="00E27362" w:rsidRPr="000F041D">
              <w:rPr>
                <w:b/>
                <w:lang w:val="fr-FR"/>
              </w:rPr>
              <w:t>nfiltration</w:t>
            </w:r>
            <w:r w:rsidRPr="000F041D">
              <w:rPr>
                <w:b/>
                <w:lang w:val="fr-FR"/>
              </w:rPr>
              <w:t xml:space="preserve"> de la plaie avec anesthésie </w:t>
            </w:r>
            <w:r w:rsidR="00E27362" w:rsidRPr="000F041D">
              <w:rPr>
                <w:b/>
                <w:lang w:val="fr-FR"/>
              </w:rPr>
              <w:t>local</w:t>
            </w:r>
            <w:r w:rsidRPr="000F041D">
              <w:rPr>
                <w:b/>
                <w:lang w:val="fr-FR"/>
              </w:rPr>
              <w:t>e après l’accouchement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 xml:space="preserve">·        </w:t>
            </w:r>
            <w:r w:rsidR="000061FB" w:rsidRPr="000F041D">
              <w:rPr>
                <w:lang w:val="fr-FR"/>
              </w:rPr>
              <w:t>L’infiltration de la plaie avec anesthésie locale est</w:t>
            </w:r>
            <w:r w:rsidRPr="000F041D">
              <w:rPr>
                <w:lang w:val="fr-FR"/>
              </w:rPr>
              <w:t xml:space="preserve"> recomm</w:t>
            </w:r>
            <w:r w:rsidR="000061FB" w:rsidRPr="000F041D">
              <w:rPr>
                <w:lang w:val="fr-FR"/>
              </w:rPr>
              <w:t>a</w:t>
            </w:r>
            <w:r w:rsidRPr="000F041D">
              <w:rPr>
                <w:lang w:val="fr-FR"/>
              </w:rPr>
              <w:t>nd</w:t>
            </w:r>
            <w:r w:rsidR="000061FB" w:rsidRPr="000F041D">
              <w:rPr>
                <w:lang w:val="fr-FR"/>
              </w:rPr>
              <w:t>ée</w:t>
            </w:r>
            <w:r w:rsidRPr="000F041D">
              <w:rPr>
                <w:lang w:val="fr-FR"/>
              </w:rPr>
              <w:t xml:space="preserve"> (G</w:t>
            </w:r>
            <w:r w:rsidR="000061FB" w:rsidRPr="000F041D">
              <w:rPr>
                <w:lang w:val="fr-FR"/>
              </w:rPr>
              <w:t>d</w:t>
            </w:r>
            <w:r w:rsidRPr="000F041D">
              <w:rPr>
                <w:lang w:val="fr-FR"/>
              </w:rPr>
              <w:t xml:space="preserve">R A) </w:t>
            </w:r>
            <w:r w:rsidR="000061FB" w:rsidRPr="000F041D">
              <w:rPr>
                <w:lang w:val="fr-FR"/>
              </w:rPr>
              <w:t xml:space="preserve">sur la base de la preuve propre à la procédure pratiquée </w:t>
            </w:r>
            <w:r w:rsidRPr="000F041D">
              <w:rPr>
                <w:lang w:val="fr-FR"/>
              </w:rPr>
              <w:t>(</w:t>
            </w:r>
            <w:r w:rsidR="000061FB" w:rsidRPr="000F041D">
              <w:rPr>
                <w:lang w:val="fr-FR"/>
              </w:rPr>
              <w:t>NdP</w:t>
            </w:r>
            <w:r w:rsidRPr="000F041D">
              <w:rPr>
                <w:lang w:val="fr-FR"/>
              </w:rPr>
              <w:t xml:space="preserve"> 1)</w:t>
            </w:r>
          </w:p>
        </w:tc>
      </w:tr>
      <w:tr w:rsidR="00E27362" w:rsidRPr="000F041D" w:rsidTr="008779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E27362" w:rsidRPr="000F041D" w:rsidRDefault="0013119A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bCs/>
                <w:iCs/>
                <w:lang w:val="fr-FR"/>
              </w:rPr>
              <w:t>In</w:t>
            </w:r>
            <w:r w:rsidR="00E27362" w:rsidRPr="000F041D">
              <w:rPr>
                <w:b/>
                <w:bCs/>
                <w:iCs/>
                <w:lang w:val="fr-FR"/>
              </w:rPr>
              <w:t xml:space="preserve">terventions </w:t>
            </w:r>
            <w:r w:rsidRPr="000F041D">
              <w:rPr>
                <w:b/>
                <w:bCs/>
                <w:iCs/>
                <w:lang w:val="fr-FR"/>
              </w:rPr>
              <w:t>p</w:t>
            </w:r>
            <w:r w:rsidRPr="000F041D">
              <w:rPr>
                <w:b/>
                <w:lang w:val="fr-FR"/>
              </w:rPr>
              <w:t xml:space="preserve">ostopératoires qui </w:t>
            </w:r>
            <w:r w:rsidRPr="000F041D">
              <w:rPr>
                <w:b/>
                <w:bCs/>
                <w:iCs/>
                <w:lang w:val="fr-FR"/>
              </w:rPr>
              <w:t>sont recommandées pour une césarienne</w:t>
            </w:r>
          </w:p>
          <w:p w:rsidR="00E27362" w:rsidRPr="000F041D" w:rsidRDefault="00777DE3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>Remarque </w:t>
            </w:r>
            <w:r w:rsidR="00E27362" w:rsidRPr="000F041D">
              <w:rPr>
                <w:lang w:val="fr-FR"/>
              </w:rPr>
              <w:t xml:space="preserve">: </w:t>
            </w:r>
            <w:r w:rsidRPr="000F041D">
              <w:rPr>
                <w:lang w:val="fr-FR"/>
              </w:rPr>
              <w:t xml:space="preserve">le terme </w:t>
            </w:r>
            <w:r w:rsidR="0013119A" w:rsidRPr="000F041D">
              <w:rPr>
                <w:lang w:val="fr-FR"/>
              </w:rPr>
              <w:t>« p</w:t>
            </w:r>
            <w:r w:rsidR="00E27362" w:rsidRPr="000F041D">
              <w:rPr>
                <w:lang w:val="fr-FR"/>
              </w:rPr>
              <w:t>ostop</w:t>
            </w:r>
            <w:r w:rsidR="0013119A" w:rsidRPr="000F041D">
              <w:rPr>
                <w:lang w:val="fr-FR"/>
              </w:rPr>
              <w:t>é</w:t>
            </w:r>
            <w:r w:rsidR="00E27362" w:rsidRPr="000F041D">
              <w:rPr>
                <w:lang w:val="fr-FR"/>
              </w:rPr>
              <w:t>rat</w:t>
            </w:r>
            <w:r w:rsidRPr="000F041D">
              <w:rPr>
                <w:lang w:val="fr-FR"/>
              </w:rPr>
              <w:t>oire</w:t>
            </w:r>
            <w:r w:rsidR="0013119A" w:rsidRPr="000F041D">
              <w:rPr>
                <w:lang w:val="fr-FR"/>
              </w:rPr>
              <w:t> »</w:t>
            </w:r>
            <w:r w:rsidR="00BC7F64" w:rsidRPr="000F041D">
              <w:rPr>
                <w:lang w:val="fr-FR"/>
              </w:rPr>
              <w:t xml:space="preserve"> </w:t>
            </w:r>
            <w:r w:rsidR="0013119A" w:rsidRPr="000F041D">
              <w:rPr>
                <w:lang w:val="fr-FR"/>
              </w:rPr>
              <w:t>se réfère aux</w:t>
            </w:r>
            <w:r w:rsidR="00E27362" w:rsidRPr="000F041D">
              <w:rPr>
                <w:lang w:val="fr-FR"/>
              </w:rPr>
              <w:t xml:space="preserve"> interventions appl</w:t>
            </w:r>
            <w:r w:rsidR="0013119A" w:rsidRPr="000F041D">
              <w:rPr>
                <w:lang w:val="fr-FR"/>
              </w:rPr>
              <w:t>iquées pendant ou après la fermeture de la plaie</w:t>
            </w:r>
            <w:r w:rsidR="00BC7F64" w:rsidRPr="000F041D">
              <w:rPr>
                <w:lang w:val="fr-FR"/>
              </w:rPr>
              <w:t>.</w:t>
            </w:r>
          </w:p>
          <w:p w:rsidR="00E27362" w:rsidRPr="000F041D" w:rsidRDefault="00777DE3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>Remarque </w:t>
            </w:r>
            <w:r w:rsidR="00E27362" w:rsidRPr="000F041D">
              <w:rPr>
                <w:lang w:val="fr-FR"/>
              </w:rPr>
              <w:t xml:space="preserve">: </w:t>
            </w:r>
            <w:r w:rsidR="000C0172" w:rsidRPr="000F041D">
              <w:rPr>
                <w:lang w:val="fr-FR"/>
              </w:rPr>
              <w:t>les analgésiques doivent être</w:t>
            </w:r>
            <w:r w:rsidR="00E27362" w:rsidRPr="000F041D">
              <w:rPr>
                <w:lang w:val="fr-FR"/>
              </w:rPr>
              <w:t xml:space="preserve"> adminis</w:t>
            </w:r>
            <w:r w:rsidR="009D4488" w:rsidRPr="000F041D">
              <w:rPr>
                <w:lang w:val="fr-FR"/>
              </w:rPr>
              <w:t>trés</w:t>
            </w:r>
            <w:r w:rsidR="002D7AF4" w:rsidRPr="000F041D">
              <w:rPr>
                <w:lang w:val="fr-FR"/>
              </w:rPr>
              <w:t xml:space="preserve"> </w:t>
            </w:r>
            <w:r w:rsidR="00B10A67" w:rsidRPr="000F041D">
              <w:rPr>
                <w:lang w:val="fr-FR"/>
              </w:rPr>
              <w:t xml:space="preserve">au moment approprié (à titre préopératoire </w:t>
            </w:r>
            <w:r w:rsidR="00B10A67" w:rsidRPr="000F041D">
              <w:rPr>
                <w:lang w:val="fr-FR"/>
              </w:rPr>
              <w:lastRenderedPageBreak/>
              <w:t>ou peropératoire) pour assurer une analgésie suffisante au début de la période de rétablissement</w:t>
            </w:r>
            <w:r w:rsidR="00BC7F64" w:rsidRPr="000F041D">
              <w:rPr>
                <w:lang w:val="fr-FR"/>
              </w:rPr>
              <w:t>.</w:t>
            </w:r>
          </w:p>
        </w:tc>
      </w:tr>
      <w:tr w:rsidR="00DB13B8" w:rsidRPr="000F041D" w:rsidTr="0087791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B10A67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lastRenderedPageBreak/>
              <w:t>AINS o</w:t>
            </w:r>
            <w:r w:rsidR="00E27362" w:rsidRPr="000F041D">
              <w:rPr>
                <w:b/>
                <w:lang w:val="fr-FR"/>
              </w:rPr>
              <w:t>ra</w:t>
            </w:r>
            <w:r w:rsidRPr="000F041D">
              <w:rPr>
                <w:b/>
                <w:lang w:val="fr-FR"/>
              </w:rPr>
              <w:t>ux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 xml:space="preserve">·        </w:t>
            </w:r>
            <w:r w:rsidR="000A0706" w:rsidRPr="000F041D">
              <w:rPr>
                <w:lang w:val="fr-FR"/>
              </w:rPr>
              <w:t>Les AINS p</w:t>
            </w:r>
            <w:r w:rsidRPr="000F041D">
              <w:rPr>
                <w:lang w:val="fr-FR"/>
              </w:rPr>
              <w:t>ostop</w:t>
            </w:r>
            <w:r w:rsidR="000A0706" w:rsidRPr="000F041D">
              <w:rPr>
                <w:lang w:val="fr-FR"/>
              </w:rPr>
              <w:t>ératoires sont recommandés</w:t>
            </w:r>
            <w:r w:rsidRPr="000F041D">
              <w:rPr>
                <w:lang w:val="fr-FR"/>
              </w:rPr>
              <w:t xml:space="preserve"> (G</w:t>
            </w:r>
            <w:r w:rsidR="000A0706" w:rsidRPr="000F041D">
              <w:rPr>
                <w:lang w:val="fr-FR"/>
              </w:rPr>
              <w:t>d</w:t>
            </w:r>
            <w:r w:rsidRPr="000F041D">
              <w:rPr>
                <w:lang w:val="fr-FR"/>
              </w:rPr>
              <w:t xml:space="preserve">R A) </w:t>
            </w:r>
            <w:r w:rsidR="000A0706" w:rsidRPr="000F041D">
              <w:rPr>
                <w:lang w:val="fr-FR"/>
              </w:rPr>
              <w:t xml:space="preserve">sur la base de la preuve propre à la procédure pratiquée </w:t>
            </w:r>
            <w:r w:rsidRPr="000F041D">
              <w:rPr>
                <w:lang w:val="fr-FR"/>
              </w:rPr>
              <w:t>(</w:t>
            </w:r>
            <w:r w:rsidR="00831821" w:rsidRPr="000F041D">
              <w:rPr>
                <w:lang w:val="fr-FR"/>
              </w:rPr>
              <w:t>NdP</w:t>
            </w:r>
            <w:r w:rsidRPr="000F041D">
              <w:rPr>
                <w:lang w:val="fr-FR"/>
              </w:rPr>
              <w:t xml:space="preserve"> 1), </w:t>
            </w:r>
            <w:r w:rsidR="000A0706" w:rsidRPr="000F041D">
              <w:rPr>
                <w:lang w:val="fr-FR"/>
              </w:rPr>
              <w:t>même chez les femmes allaitantes</w:t>
            </w:r>
            <w:r w:rsidRPr="000F041D">
              <w:rPr>
                <w:lang w:val="fr-FR"/>
              </w:rPr>
              <w:t xml:space="preserve"> (</w:t>
            </w:r>
            <w:r w:rsidR="000A0706" w:rsidRPr="000F041D">
              <w:rPr>
                <w:lang w:val="fr-FR"/>
              </w:rPr>
              <w:t>NdP</w:t>
            </w:r>
            <w:r w:rsidRPr="000F041D">
              <w:rPr>
                <w:lang w:val="fr-FR"/>
              </w:rPr>
              <w:t xml:space="preserve"> 3)</w:t>
            </w:r>
          </w:p>
        </w:tc>
      </w:tr>
      <w:tr w:rsidR="00DB13B8" w:rsidRPr="000F041D" w:rsidTr="0087791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0A0706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t>P</w:t>
            </w:r>
            <w:r w:rsidR="00E27362" w:rsidRPr="000F041D">
              <w:rPr>
                <w:b/>
                <w:lang w:val="fr-FR"/>
              </w:rPr>
              <w:t>arac</w:t>
            </w:r>
            <w:r w:rsidRPr="000F041D">
              <w:rPr>
                <w:b/>
                <w:lang w:val="fr-FR"/>
              </w:rPr>
              <w:t>é</w:t>
            </w:r>
            <w:r w:rsidR="00E27362" w:rsidRPr="000F041D">
              <w:rPr>
                <w:b/>
                <w:lang w:val="fr-FR"/>
              </w:rPr>
              <w:t>tamol</w:t>
            </w:r>
            <w:r w:rsidRPr="000F041D">
              <w:rPr>
                <w:b/>
                <w:lang w:val="fr-FR"/>
              </w:rPr>
              <w:t xml:space="preserve"> oral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 xml:space="preserve">·        </w:t>
            </w:r>
            <w:r w:rsidR="00481F57" w:rsidRPr="000F041D">
              <w:rPr>
                <w:lang w:val="fr-FR"/>
              </w:rPr>
              <w:t>Le paracétamol postopératoire est recommandé (GdR A) sur la base de la preuve propre à la procédure pratiquée (NdP 1)</w:t>
            </w:r>
          </w:p>
        </w:tc>
      </w:tr>
      <w:tr w:rsidR="00DB13B8" w:rsidRPr="000F041D" w:rsidTr="0087791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481F57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t>O</w:t>
            </w:r>
            <w:r w:rsidR="00E27362" w:rsidRPr="000F041D">
              <w:rPr>
                <w:b/>
                <w:lang w:val="fr-FR"/>
              </w:rPr>
              <w:t>pio</w:t>
            </w:r>
            <w:r w:rsidRPr="000F041D">
              <w:rPr>
                <w:b/>
                <w:lang w:val="fr-FR"/>
              </w:rPr>
              <w:t>ï</w:t>
            </w:r>
            <w:r w:rsidR="00E27362" w:rsidRPr="000F041D">
              <w:rPr>
                <w:b/>
                <w:lang w:val="fr-FR"/>
              </w:rPr>
              <w:t>d</w:t>
            </w:r>
            <w:r w:rsidRPr="000F041D">
              <w:rPr>
                <w:b/>
                <w:lang w:val="fr-FR"/>
              </w:rPr>
              <w:t>e</w:t>
            </w:r>
            <w:r w:rsidR="00E27362" w:rsidRPr="000F041D">
              <w:rPr>
                <w:b/>
                <w:lang w:val="fr-FR"/>
              </w:rPr>
              <w:t>s</w:t>
            </w:r>
            <w:r w:rsidRPr="000F041D">
              <w:rPr>
                <w:b/>
                <w:lang w:val="fr-FR"/>
              </w:rPr>
              <w:t xml:space="preserve"> systémiques</w:t>
            </w:r>
            <w:r w:rsidR="002D7AF4" w:rsidRPr="000F041D">
              <w:rPr>
                <w:b/>
                <w:lang w:val="fr-FR"/>
              </w:rPr>
              <w:t xml:space="preserve"> </w:t>
            </w:r>
            <w:r w:rsidR="00340A9E" w:rsidRPr="000F041D">
              <w:rPr>
                <w:b/>
                <w:lang w:val="fr-FR"/>
              </w:rPr>
              <w:t>comme</w:t>
            </w:r>
            <w:r w:rsidR="00E27362" w:rsidRPr="000F041D">
              <w:rPr>
                <w:b/>
                <w:lang w:val="fr-FR"/>
              </w:rPr>
              <w:t xml:space="preserve"> analg</w:t>
            </w:r>
            <w:r w:rsidR="00732A89" w:rsidRPr="000F041D">
              <w:rPr>
                <w:b/>
                <w:lang w:val="fr-FR"/>
              </w:rPr>
              <w:t>é</w:t>
            </w:r>
            <w:r w:rsidR="00E27362" w:rsidRPr="000F041D">
              <w:rPr>
                <w:b/>
                <w:lang w:val="fr-FR"/>
              </w:rPr>
              <w:t>si</w:t>
            </w:r>
            <w:r w:rsidR="00732A89" w:rsidRPr="000F041D">
              <w:rPr>
                <w:b/>
                <w:lang w:val="fr-FR"/>
              </w:rPr>
              <w:t>e de secours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 xml:space="preserve">·        </w:t>
            </w:r>
            <w:r w:rsidR="002D53B7" w:rsidRPr="000F041D">
              <w:rPr>
                <w:lang w:val="fr-FR"/>
              </w:rPr>
              <w:t xml:space="preserve">Les opioïdes systémiques assurent une analgésie </w:t>
            </w:r>
            <w:r w:rsidRPr="000F041D">
              <w:rPr>
                <w:lang w:val="fr-FR"/>
              </w:rPr>
              <w:t>eff</w:t>
            </w:r>
            <w:r w:rsidR="002D53B7" w:rsidRPr="000F041D">
              <w:rPr>
                <w:lang w:val="fr-FR"/>
              </w:rPr>
              <w:t>icac</w:t>
            </w:r>
            <w:r w:rsidRPr="000F041D">
              <w:rPr>
                <w:lang w:val="fr-FR"/>
              </w:rPr>
              <w:t>e (G</w:t>
            </w:r>
            <w:r w:rsidR="002D53B7" w:rsidRPr="000F041D">
              <w:rPr>
                <w:lang w:val="fr-FR"/>
              </w:rPr>
              <w:t>d</w:t>
            </w:r>
            <w:r w:rsidRPr="000F041D">
              <w:rPr>
                <w:lang w:val="fr-FR"/>
              </w:rPr>
              <w:t>R</w:t>
            </w:r>
            <w:r w:rsidR="002D53B7" w:rsidRPr="000F041D">
              <w:rPr>
                <w:lang w:val="fr-FR"/>
              </w:rPr>
              <w:t> </w:t>
            </w:r>
            <w:r w:rsidRPr="000F041D">
              <w:rPr>
                <w:lang w:val="fr-FR"/>
              </w:rPr>
              <w:t xml:space="preserve">A, </w:t>
            </w:r>
            <w:r w:rsidR="002D53B7" w:rsidRPr="000F041D">
              <w:rPr>
                <w:lang w:val="fr-FR"/>
              </w:rPr>
              <w:t>NdP</w:t>
            </w:r>
            <w:r w:rsidRPr="000F041D">
              <w:rPr>
                <w:lang w:val="fr-FR"/>
              </w:rPr>
              <w:t xml:space="preserve"> 1), </w:t>
            </w:r>
            <w:r w:rsidR="002D53B7" w:rsidRPr="000F041D">
              <w:rPr>
                <w:lang w:val="fr-FR"/>
              </w:rPr>
              <w:t>mais sont</w:t>
            </w:r>
            <w:r w:rsidR="002D7AF4" w:rsidRPr="000F041D">
              <w:rPr>
                <w:lang w:val="fr-FR"/>
              </w:rPr>
              <w:t xml:space="preserve"> </w:t>
            </w:r>
            <w:r w:rsidR="002D53B7" w:rsidRPr="000F041D">
              <w:rPr>
                <w:lang w:val="fr-FR"/>
              </w:rPr>
              <w:t xml:space="preserve">uniquement </w:t>
            </w:r>
            <w:r w:rsidRPr="000F041D">
              <w:rPr>
                <w:lang w:val="fr-FR"/>
              </w:rPr>
              <w:t>recomm</w:t>
            </w:r>
            <w:r w:rsidR="002D53B7" w:rsidRPr="000F041D">
              <w:rPr>
                <w:lang w:val="fr-FR"/>
              </w:rPr>
              <w:t>a</w:t>
            </w:r>
            <w:r w:rsidRPr="000F041D">
              <w:rPr>
                <w:lang w:val="fr-FR"/>
              </w:rPr>
              <w:t>nd</w:t>
            </w:r>
            <w:r w:rsidR="002D53B7" w:rsidRPr="000F041D">
              <w:rPr>
                <w:lang w:val="fr-FR"/>
              </w:rPr>
              <w:t>és</w:t>
            </w:r>
            <w:r w:rsidR="002D7AF4" w:rsidRPr="000F041D">
              <w:rPr>
                <w:lang w:val="fr-FR"/>
              </w:rPr>
              <w:t xml:space="preserve"> </w:t>
            </w:r>
            <w:r w:rsidR="002D53B7" w:rsidRPr="000F041D">
              <w:rPr>
                <w:lang w:val="fr-FR"/>
              </w:rPr>
              <w:t>comme</w:t>
            </w:r>
            <w:r w:rsidRPr="000F041D">
              <w:rPr>
                <w:lang w:val="fr-FR"/>
              </w:rPr>
              <w:t xml:space="preserve"> analg</w:t>
            </w:r>
            <w:r w:rsidR="00430BE1" w:rsidRPr="000F041D">
              <w:rPr>
                <w:lang w:val="fr-FR"/>
              </w:rPr>
              <w:t>é</w:t>
            </w:r>
            <w:r w:rsidRPr="000F041D">
              <w:rPr>
                <w:lang w:val="fr-FR"/>
              </w:rPr>
              <w:t>si</w:t>
            </w:r>
            <w:r w:rsidR="00430BE1" w:rsidRPr="000F041D">
              <w:rPr>
                <w:lang w:val="fr-FR"/>
              </w:rPr>
              <w:t>ques</w:t>
            </w:r>
            <w:r w:rsidR="002D7AF4" w:rsidRPr="000F041D">
              <w:rPr>
                <w:lang w:val="fr-FR"/>
              </w:rPr>
              <w:t xml:space="preserve"> </w:t>
            </w:r>
            <w:r w:rsidR="00430BE1" w:rsidRPr="000F041D">
              <w:rPr>
                <w:lang w:val="fr-FR"/>
              </w:rPr>
              <w:t>en raison de leurs effets indésirables</w:t>
            </w:r>
            <w:r w:rsidRPr="000F041D">
              <w:rPr>
                <w:lang w:val="fr-FR"/>
              </w:rPr>
              <w:t xml:space="preserve"> (G</w:t>
            </w:r>
            <w:r w:rsidR="00430BE1" w:rsidRPr="000F041D">
              <w:rPr>
                <w:lang w:val="fr-FR"/>
              </w:rPr>
              <w:t>d</w:t>
            </w:r>
            <w:r w:rsidRPr="000F041D">
              <w:rPr>
                <w:lang w:val="fr-FR"/>
              </w:rPr>
              <w:t>R D)</w:t>
            </w:r>
          </w:p>
        </w:tc>
      </w:tr>
      <w:tr w:rsidR="00DB13B8" w:rsidRPr="000F041D" w:rsidTr="0087791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732A89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t>Perfusion c</w:t>
            </w:r>
            <w:r w:rsidR="00E27362" w:rsidRPr="000F041D">
              <w:rPr>
                <w:b/>
                <w:lang w:val="fr-FR"/>
              </w:rPr>
              <w:t>ontin</w:t>
            </w:r>
            <w:r w:rsidRPr="000F041D">
              <w:rPr>
                <w:b/>
                <w:lang w:val="fr-FR"/>
              </w:rPr>
              <w:t>ue de la plaie</w:t>
            </w:r>
            <w:r w:rsidR="002D7AF4" w:rsidRPr="000F041D">
              <w:rPr>
                <w:b/>
                <w:lang w:val="fr-FR"/>
              </w:rPr>
              <w:t xml:space="preserve"> </w:t>
            </w:r>
            <w:r w:rsidRPr="000F041D">
              <w:rPr>
                <w:b/>
                <w:lang w:val="fr-FR"/>
              </w:rPr>
              <w:t>avec</w:t>
            </w:r>
            <w:r w:rsidR="002D7AF4" w:rsidRPr="000F041D">
              <w:rPr>
                <w:b/>
                <w:lang w:val="fr-FR"/>
              </w:rPr>
              <w:t xml:space="preserve"> </w:t>
            </w:r>
            <w:r w:rsidRPr="000F041D">
              <w:rPr>
                <w:b/>
                <w:lang w:val="fr-FR"/>
              </w:rPr>
              <w:t xml:space="preserve">anesthésie </w:t>
            </w:r>
            <w:r w:rsidR="00E27362" w:rsidRPr="000F041D">
              <w:rPr>
                <w:b/>
                <w:lang w:val="fr-FR"/>
              </w:rPr>
              <w:t>local</w:t>
            </w:r>
            <w:r w:rsidRPr="000F041D">
              <w:rPr>
                <w:b/>
                <w:lang w:val="fr-FR"/>
              </w:rPr>
              <w:t>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 xml:space="preserve">·        </w:t>
            </w:r>
            <w:r w:rsidR="00732A89" w:rsidRPr="000F041D">
              <w:rPr>
                <w:lang w:val="fr-FR"/>
              </w:rPr>
              <w:t>La perfusion continue de la plaie avec anesthésie locale est</w:t>
            </w:r>
            <w:r w:rsidRPr="000F041D">
              <w:rPr>
                <w:lang w:val="fr-FR"/>
              </w:rPr>
              <w:t xml:space="preserve"> recomm</w:t>
            </w:r>
            <w:r w:rsidR="00732A89" w:rsidRPr="000F041D">
              <w:rPr>
                <w:lang w:val="fr-FR"/>
              </w:rPr>
              <w:t>a</w:t>
            </w:r>
            <w:r w:rsidRPr="000F041D">
              <w:rPr>
                <w:lang w:val="fr-FR"/>
              </w:rPr>
              <w:t>nd</w:t>
            </w:r>
            <w:r w:rsidR="00732A89" w:rsidRPr="000F041D">
              <w:rPr>
                <w:lang w:val="fr-FR"/>
              </w:rPr>
              <w:t>ée</w:t>
            </w:r>
            <w:r w:rsidRPr="000F041D">
              <w:rPr>
                <w:lang w:val="fr-FR"/>
              </w:rPr>
              <w:t xml:space="preserve"> (G</w:t>
            </w:r>
            <w:r w:rsidR="00732A89" w:rsidRPr="000F041D">
              <w:rPr>
                <w:lang w:val="fr-FR"/>
              </w:rPr>
              <w:t>d</w:t>
            </w:r>
            <w:r w:rsidRPr="000F041D">
              <w:rPr>
                <w:lang w:val="fr-FR"/>
              </w:rPr>
              <w:t xml:space="preserve">R A) </w:t>
            </w:r>
            <w:r w:rsidR="00732A89" w:rsidRPr="000F041D">
              <w:rPr>
                <w:lang w:val="fr-FR"/>
              </w:rPr>
              <w:t xml:space="preserve">sur la base de la preuve propre à la procédure pratiquée </w:t>
            </w:r>
            <w:r w:rsidRPr="000F041D">
              <w:rPr>
                <w:lang w:val="fr-FR"/>
              </w:rPr>
              <w:t>(</w:t>
            </w:r>
            <w:r w:rsidR="00732A89" w:rsidRPr="000F041D">
              <w:rPr>
                <w:lang w:val="fr-FR"/>
              </w:rPr>
              <w:t>NdP</w:t>
            </w:r>
            <w:r w:rsidRPr="000F041D">
              <w:rPr>
                <w:lang w:val="fr-FR"/>
              </w:rPr>
              <w:t xml:space="preserve"> 1)</w:t>
            </w:r>
          </w:p>
        </w:tc>
      </w:tr>
    </w:tbl>
    <w:p w:rsidR="00E27362" w:rsidRPr="000F041D" w:rsidRDefault="00E27362" w:rsidP="00E27362">
      <w:pPr>
        <w:spacing w:line="240" w:lineRule="auto"/>
        <w:rPr>
          <w:lang w:val="fr-FR"/>
        </w:rPr>
      </w:pPr>
    </w:p>
    <w:p w:rsidR="00E27362" w:rsidRPr="000F041D" w:rsidRDefault="00E27362" w:rsidP="00E27362">
      <w:pPr>
        <w:spacing w:line="240" w:lineRule="auto"/>
        <w:rPr>
          <w:lang w:val="fr-FR"/>
        </w:rPr>
      </w:pPr>
      <w:r w:rsidRPr="000F041D">
        <w:rPr>
          <w:lang w:val="fr-FR"/>
        </w:rPr>
        <w:t>Recomm</w:t>
      </w:r>
      <w:r w:rsidR="00430BE1" w:rsidRPr="000F041D">
        <w:rPr>
          <w:lang w:val="fr-FR"/>
        </w:rPr>
        <w:t>a</w:t>
      </w:r>
      <w:r w:rsidRPr="000F041D">
        <w:rPr>
          <w:lang w:val="fr-FR"/>
        </w:rPr>
        <w:t>ndations</w:t>
      </w:r>
      <w:r w:rsidR="00430BE1" w:rsidRPr="000F041D">
        <w:rPr>
          <w:lang w:val="fr-FR"/>
        </w:rPr>
        <w:t xml:space="preserve"> générales </w:t>
      </w:r>
      <w:r w:rsidRPr="000F041D">
        <w:rPr>
          <w:lang w:val="fr-FR"/>
        </w:rPr>
        <w:t xml:space="preserve">: </w:t>
      </w:r>
      <w:r w:rsidR="001C2487" w:rsidRPr="000F041D">
        <w:rPr>
          <w:lang w:val="fr-FR"/>
        </w:rPr>
        <w:t>traitement de la douleur pour</w:t>
      </w:r>
      <w:r w:rsidR="002D7AF4" w:rsidRPr="000F041D">
        <w:rPr>
          <w:lang w:val="fr-FR"/>
        </w:rPr>
        <w:t xml:space="preserve"> </w:t>
      </w:r>
      <w:r w:rsidR="00AD7751" w:rsidRPr="000F041D">
        <w:rPr>
          <w:lang w:val="fr-FR"/>
        </w:rPr>
        <w:t>les césariennes électives</w:t>
      </w:r>
      <w:r w:rsidRPr="000F041D">
        <w:rPr>
          <w:lang w:val="fr-FR"/>
        </w:rPr>
        <w:br/>
      </w:r>
      <w:r w:rsidRPr="000F041D">
        <w:rPr>
          <w:lang w:val="fr-FR"/>
        </w:rPr>
        <w:br/>
      </w:r>
    </w:p>
    <w:tbl>
      <w:tblPr>
        <w:tblW w:w="918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blBorders>
        <w:tblLook w:val="0480" w:firstRow="0" w:lastRow="0" w:firstColumn="1" w:lastColumn="0" w:noHBand="0" w:noVBand="1"/>
      </w:tblPr>
      <w:tblGrid>
        <w:gridCol w:w="3085"/>
        <w:gridCol w:w="6095"/>
      </w:tblGrid>
      <w:tr w:rsidR="00E27362" w:rsidRPr="000F041D" w:rsidTr="00E27362">
        <w:trPr>
          <w:trHeight w:val="18"/>
        </w:trPr>
        <w:tc>
          <w:tcPr>
            <w:tcW w:w="30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5B9BD5" w:themeFill="accent1"/>
            <w:hideMark/>
          </w:tcPr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bCs/>
                <w:lang w:val="fr-FR"/>
              </w:rPr>
              <w:t>Pr</w:t>
            </w:r>
            <w:r w:rsidR="00430BE1" w:rsidRPr="000F041D">
              <w:rPr>
                <w:b/>
                <w:bCs/>
                <w:lang w:val="fr-FR"/>
              </w:rPr>
              <w:t>é</w:t>
            </w:r>
            <w:r w:rsidRPr="000F041D">
              <w:rPr>
                <w:b/>
                <w:bCs/>
                <w:lang w:val="fr-FR"/>
              </w:rPr>
              <w:t>op</w:t>
            </w:r>
            <w:r w:rsidR="00430BE1" w:rsidRPr="000F041D">
              <w:rPr>
                <w:b/>
                <w:bCs/>
                <w:lang w:val="fr-FR"/>
              </w:rPr>
              <w:t>é</w:t>
            </w:r>
            <w:r w:rsidRPr="000F041D">
              <w:rPr>
                <w:b/>
                <w:bCs/>
                <w:lang w:val="fr-FR"/>
              </w:rPr>
              <w:t>rat</w:t>
            </w:r>
            <w:r w:rsidR="00430BE1" w:rsidRPr="000F041D">
              <w:rPr>
                <w:b/>
                <w:bCs/>
                <w:lang w:val="fr-FR"/>
              </w:rPr>
              <w:t>oire</w:t>
            </w:r>
          </w:p>
        </w:tc>
        <w:tc>
          <w:tcPr>
            <w:tcW w:w="60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ADCCEA" w:themeFill="accent1" w:themeFillTint="7F"/>
            <w:hideMark/>
          </w:tcPr>
          <w:p w:rsidR="00E27362" w:rsidRPr="000F041D" w:rsidRDefault="00430BE1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>Gabapentine o</w:t>
            </w:r>
            <w:r w:rsidR="00E27362" w:rsidRPr="000F041D">
              <w:rPr>
                <w:lang w:val="fr-FR"/>
              </w:rPr>
              <w:t>ral</w:t>
            </w:r>
            <w:r w:rsidRPr="000F041D">
              <w:rPr>
                <w:lang w:val="fr-FR"/>
              </w:rPr>
              <w:t>e</w:t>
            </w:r>
          </w:p>
        </w:tc>
      </w:tr>
      <w:tr w:rsidR="00E27362" w:rsidRPr="000F041D" w:rsidTr="00E27362">
        <w:trPr>
          <w:trHeight w:val="18"/>
        </w:trPr>
        <w:tc>
          <w:tcPr>
            <w:tcW w:w="3085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5B9BD5" w:themeFill="accent1"/>
            <w:hideMark/>
          </w:tcPr>
          <w:p w:rsidR="00E27362" w:rsidRPr="000F041D" w:rsidRDefault="00331BDF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t>Technique anesthésique p</w:t>
            </w:r>
            <w:r w:rsidR="00E27362" w:rsidRPr="000F041D">
              <w:rPr>
                <w:b/>
                <w:lang w:val="fr-FR"/>
              </w:rPr>
              <w:t>r</w:t>
            </w:r>
            <w:r w:rsidRPr="000F041D">
              <w:rPr>
                <w:b/>
                <w:lang w:val="fr-FR"/>
              </w:rPr>
              <w:t>é</w:t>
            </w:r>
            <w:r w:rsidR="00E27362" w:rsidRPr="000F041D">
              <w:rPr>
                <w:b/>
                <w:lang w:val="fr-FR"/>
              </w:rPr>
              <w:t>/</w:t>
            </w:r>
            <w:r w:rsidRPr="000F041D">
              <w:rPr>
                <w:b/>
                <w:lang w:val="fr-FR"/>
              </w:rPr>
              <w:t>per</w:t>
            </w:r>
            <w:r w:rsidRPr="000F041D">
              <w:rPr>
                <w:b/>
                <w:bCs/>
                <w:lang w:val="fr-FR"/>
              </w:rPr>
              <w:t>opératoire</w:t>
            </w:r>
          </w:p>
        </w:tc>
        <w:tc>
          <w:tcPr>
            <w:tcW w:w="6095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D6E6F4" w:themeFill="accent1" w:themeFillTint="3F"/>
            <w:hideMark/>
          </w:tcPr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>CSEA o</w:t>
            </w:r>
            <w:r w:rsidR="00430BE1" w:rsidRPr="000F041D">
              <w:rPr>
                <w:lang w:val="fr-FR"/>
              </w:rPr>
              <w:t>u</w:t>
            </w:r>
            <w:r w:rsidR="002D7AF4" w:rsidRPr="000F041D">
              <w:rPr>
                <w:lang w:val="fr-FR"/>
              </w:rPr>
              <w:t xml:space="preserve"> </w:t>
            </w:r>
            <w:r w:rsidRPr="000F041D">
              <w:rPr>
                <w:lang w:val="fr-FR"/>
              </w:rPr>
              <w:t>SpA*</w:t>
            </w:r>
          </w:p>
        </w:tc>
      </w:tr>
      <w:tr w:rsidR="00E27362" w:rsidRPr="000F041D" w:rsidTr="00E27362">
        <w:trPr>
          <w:trHeight w:val="18"/>
        </w:trPr>
        <w:tc>
          <w:tcPr>
            <w:tcW w:w="3085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5B9BD5" w:themeFill="accent1"/>
            <w:hideMark/>
          </w:tcPr>
          <w:p w:rsidR="00E27362" w:rsidRPr="000F041D" w:rsidRDefault="00FF589E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bCs/>
                <w:lang w:val="fr-FR"/>
              </w:rPr>
              <w:t>P</w:t>
            </w:r>
            <w:r w:rsidR="00331BDF" w:rsidRPr="000F041D">
              <w:rPr>
                <w:b/>
                <w:bCs/>
                <w:lang w:val="fr-FR"/>
              </w:rPr>
              <w:t>e</w:t>
            </w:r>
            <w:r w:rsidRPr="000F041D">
              <w:rPr>
                <w:b/>
                <w:bCs/>
                <w:lang w:val="fr-FR"/>
              </w:rPr>
              <w:t>r</w:t>
            </w:r>
            <w:r w:rsidR="00331BDF" w:rsidRPr="000F041D">
              <w:rPr>
                <w:b/>
                <w:bCs/>
                <w:lang w:val="fr-FR"/>
              </w:rPr>
              <w:t>opératoire</w:t>
            </w:r>
            <w:r w:rsidR="00E27362" w:rsidRPr="000F041D">
              <w:rPr>
                <w:b/>
                <w:bCs/>
                <w:lang w:val="fr-FR"/>
              </w:rPr>
              <w:t xml:space="preserve">, </w:t>
            </w:r>
            <w:r w:rsidR="00331BDF" w:rsidRPr="000F041D">
              <w:rPr>
                <w:b/>
                <w:bCs/>
                <w:lang w:val="fr-FR"/>
              </w:rPr>
              <w:t>après l’accouchement</w:t>
            </w:r>
          </w:p>
        </w:tc>
        <w:tc>
          <w:tcPr>
            <w:tcW w:w="60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ADCCEA" w:themeFill="accent1" w:themeFillTint="7F"/>
            <w:hideMark/>
          </w:tcPr>
          <w:p w:rsidR="00E27362" w:rsidRPr="000F041D" w:rsidRDefault="00430BE1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 xml:space="preserve">Paracétamol </w:t>
            </w:r>
            <w:r w:rsidR="00E27362" w:rsidRPr="000F041D">
              <w:rPr>
                <w:lang w:val="fr-FR"/>
              </w:rPr>
              <w:t xml:space="preserve">IV + </w:t>
            </w:r>
            <w:r w:rsidRPr="000F041D">
              <w:rPr>
                <w:lang w:val="fr-FR"/>
              </w:rPr>
              <w:t>AINS</w:t>
            </w:r>
            <w:r w:rsidR="00E27362" w:rsidRPr="000F041D">
              <w:rPr>
                <w:lang w:val="fr-FR"/>
              </w:rPr>
              <w:t>I</w:t>
            </w:r>
            <w:r w:rsidR="00235F4F" w:rsidRPr="000F041D">
              <w:rPr>
                <w:lang w:val="fr-FR"/>
              </w:rPr>
              <w:t xml:space="preserve"> </w:t>
            </w:r>
            <w:r w:rsidR="00E27362" w:rsidRPr="000F041D">
              <w:rPr>
                <w:lang w:val="fr-FR"/>
              </w:rPr>
              <w:t>V</w:t>
            </w:r>
            <w:r w:rsidR="00414DF6" w:rsidRPr="000F041D">
              <w:rPr>
                <w:vertAlign w:val="superscript"/>
                <w:lang w:val="fr-FR"/>
              </w:rPr>
              <w:t>#</w:t>
            </w:r>
          </w:p>
        </w:tc>
      </w:tr>
      <w:tr w:rsidR="00E27362" w:rsidRPr="000F041D" w:rsidTr="00E27362">
        <w:trPr>
          <w:trHeight w:val="18"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D6E6F4" w:themeFill="accent1" w:themeFillTint="3F"/>
            <w:hideMark/>
          </w:tcPr>
          <w:p w:rsidR="00E27362" w:rsidRPr="000F041D" w:rsidRDefault="00E479B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>I</w:t>
            </w:r>
            <w:r w:rsidR="00E27362" w:rsidRPr="000F041D">
              <w:rPr>
                <w:lang w:val="fr-FR"/>
              </w:rPr>
              <w:t xml:space="preserve">nfiltration </w:t>
            </w:r>
            <w:r w:rsidRPr="000F041D">
              <w:rPr>
                <w:lang w:val="fr-FR"/>
              </w:rPr>
              <w:t xml:space="preserve">de la plaie avec </w:t>
            </w:r>
            <w:r w:rsidR="00883449" w:rsidRPr="000F041D">
              <w:rPr>
                <w:lang w:val="fr-FR"/>
              </w:rPr>
              <w:t>AL</w:t>
            </w:r>
            <w:r w:rsidR="002D7AF4" w:rsidRPr="000F041D">
              <w:rPr>
                <w:lang w:val="fr-FR"/>
              </w:rPr>
              <w:t xml:space="preserve"> </w:t>
            </w:r>
            <w:r w:rsidR="00E27362" w:rsidRPr="000F041D">
              <w:rPr>
                <w:b/>
                <w:bCs/>
                <w:lang w:val="fr-FR"/>
              </w:rPr>
              <w:t>o</w:t>
            </w:r>
            <w:r w:rsidR="00F20831" w:rsidRPr="000F041D">
              <w:rPr>
                <w:b/>
                <w:bCs/>
                <w:lang w:val="fr-FR"/>
              </w:rPr>
              <w:t>u</w:t>
            </w:r>
            <w:r w:rsidR="002D7AF4" w:rsidRPr="000F041D">
              <w:rPr>
                <w:b/>
                <w:bCs/>
                <w:lang w:val="fr-FR"/>
              </w:rPr>
              <w:t xml:space="preserve"> </w:t>
            </w:r>
            <w:r w:rsidR="00F20831" w:rsidRPr="000F041D">
              <w:rPr>
                <w:lang w:val="fr-FR"/>
              </w:rPr>
              <w:t xml:space="preserve">blocs </w:t>
            </w:r>
            <w:r w:rsidR="00E27362" w:rsidRPr="000F041D">
              <w:rPr>
                <w:lang w:val="fr-FR"/>
              </w:rPr>
              <w:t xml:space="preserve">TAP </w:t>
            </w:r>
            <w:r w:rsidR="00E27362" w:rsidRPr="000F041D">
              <w:rPr>
                <w:b/>
                <w:bCs/>
                <w:lang w:val="fr-FR"/>
              </w:rPr>
              <w:t>o</w:t>
            </w:r>
            <w:r w:rsidR="00F20831" w:rsidRPr="000F041D">
              <w:rPr>
                <w:b/>
                <w:bCs/>
                <w:lang w:val="fr-FR"/>
              </w:rPr>
              <w:t>u</w:t>
            </w:r>
            <w:r w:rsidR="002D7AF4" w:rsidRPr="000F041D">
              <w:rPr>
                <w:b/>
                <w:bCs/>
                <w:lang w:val="fr-FR"/>
              </w:rPr>
              <w:t xml:space="preserve"> </w:t>
            </w:r>
            <w:r w:rsidR="00F20831" w:rsidRPr="000F041D">
              <w:rPr>
                <w:lang w:val="fr-FR"/>
              </w:rPr>
              <w:t xml:space="preserve">blocs </w:t>
            </w:r>
            <w:r w:rsidR="00E27362" w:rsidRPr="000F041D">
              <w:rPr>
                <w:lang w:val="fr-FR"/>
              </w:rPr>
              <w:t>ilio</w:t>
            </w:r>
            <w:r w:rsidR="00F20831" w:rsidRPr="000F041D">
              <w:rPr>
                <w:lang w:val="fr-FR"/>
              </w:rPr>
              <w:t>-</w:t>
            </w:r>
            <w:r w:rsidR="00E27362" w:rsidRPr="000F041D">
              <w:rPr>
                <w:lang w:val="fr-FR"/>
              </w:rPr>
              <w:t>hypogastri</w:t>
            </w:r>
            <w:r w:rsidR="00F20831" w:rsidRPr="000F041D">
              <w:rPr>
                <w:lang w:val="fr-FR"/>
              </w:rPr>
              <w:t>que</w:t>
            </w:r>
            <w:r w:rsidR="00235F4F" w:rsidRPr="000F041D">
              <w:rPr>
                <w:lang w:val="fr-FR"/>
              </w:rPr>
              <w:t>s</w:t>
            </w:r>
            <w:r w:rsidR="00E27362" w:rsidRPr="000F041D">
              <w:rPr>
                <w:lang w:val="fr-FR"/>
              </w:rPr>
              <w:t>/ilio</w:t>
            </w:r>
            <w:r w:rsidR="00F20831" w:rsidRPr="000F041D">
              <w:rPr>
                <w:lang w:val="fr-FR"/>
              </w:rPr>
              <w:t>-</w:t>
            </w:r>
            <w:r w:rsidR="00235F4F" w:rsidRPr="000F041D">
              <w:rPr>
                <w:lang w:val="fr-FR"/>
              </w:rPr>
              <w:t>inguinaux</w:t>
            </w:r>
            <w:r w:rsidR="00E27362" w:rsidRPr="000F041D">
              <w:rPr>
                <w:lang w:val="fr-FR"/>
              </w:rPr>
              <w:t xml:space="preserve"> </w:t>
            </w:r>
          </w:p>
        </w:tc>
      </w:tr>
      <w:tr w:rsidR="00E27362" w:rsidRPr="000F041D" w:rsidTr="00E27362">
        <w:trPr>
          <w:trHeight w:val="18"/>
        </w:trPr>
        <w:tc>
          <w:tcPr>
            <w:tcW w:w="3085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5B9BD5" w:themeFill="accent1"/>
            <w:hideMark/>
          </w:tcPr>
          <w:p w:rsidR="00E27362" w:rsidRPr="000F041D" w:rsidRDefault="00331BDF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bCs/>
                <w:lang w:val="fr-FR"/>
              </w:rPr>
              <w:t>T</w:t>
            </w:r>
            <w:r w:rsidR="00E27362" w:rsidRPr="000F041D">
              <w:rPr>
                <w:b/>
                <w:bCs/>
                <w:lang w:val="fr-FR"/>
              </w:rPr>
              <w:t xml:space="preserve">echnique </w:t>
            </w:r>
            <w:r w:rsidRPr="000F041D">
              <w:rPr>
                <w:b/>
                <w:bCs/>
                <w:lang w:val="fr-FR"/>
              </w:rPr>
              <w:t>chirurgicale</w:t>
            </w:r>
          </w:p>
        </w:tc>
        <w:tc>
          <w:tcPr>
            <w:tcW w:w="60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ADCCEA" w:themeFill="accent1" w:themeFillTint="7F"/>
            <w:hideMark/>
          </w:tcPr>
          <w:p w:rsidR="00E27362" w:rsidRPr="000F041D" w:rsidRDefault="00331BDF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>Incision t</w:t>
            </w:r>
            <w:r w:rsidR="00E27362" w:rsidRPr="000F041D">
              <w:rPr>
                <w:lang w:val="fr-FR"/>
              </w:rPr>
              <w:t>ransvers</w:t>
            </w:r>
            <w:r w:rsidRPr="000F041D">
              <w:rPr>
                <w:lang w:val="fr-FR"/>
              </w:rPr>
              <w:t>al</w:t>
            </w:r>
            <w:r w:rsidR="00E27362" w:rsidRPr="000F041D">
              <w:rPr>
                <w:lang w:val="fr-FR"/>
              </w:rPr>
              <w:t>e</w:t>
            </w:r>
            <w:r w:rsidR="00E27362" w:rsidRPr="000F041D">
              <w:rPr>
                <w:vertAlign w:val="superscript"/>
                <w:lang w:val="fr-FR"/>
              </w:rPr>
              <w:t>†</w:t>
            </w:r>
          </w:p>
        </w:tc>
      </w:tr>
      <w:tr w:rsidR="00E27362" w:rsidRPr="000F041D" w:rsidTr="00E27362">
        <w:trPr>
          <w:trHeight w:val="18"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D6E6F4" w:themeFill="accent1" w:themeFillTint="3F"/>
            <w:hideMark/>
          </w:tcPr>
          <w:p w:rsidR="00E27362" w:rsidRPr="000F041D" w:rsidRDefault="00F20831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>Sans fermeture du pé</w:t>
            </w:r>
            <w:r w:rsidR="00E27362" w:rsidRPr="000F041D">
              <w:rPr>
                <w:lang w:val="fr-FR"/>
              </w:rPr>
              <w:t>rito</w:t>
            </w:r>
            <w:r w:rsidRPr="000F041D">
              <w:rPr>
                <w:lang w:val="fr-FR"/>
              </w:rPr>
              <w:t>ine</w:t>
            </w:r>
          </w:p>
        </w:tc>
      </w:tr>
      <w:tr w:rsidR="00E27362" w:rsidRPr="000F041D" w:rsidTr="00E27362">
        <w:trPr>
          <w:trHeight w:val="18"/>
        </w:trPr>
        <w:tc>
          <w:tcPr>
            <w:tcW w:w="3085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5B9BD5" w:themeFill="accent1"/>
            <w:hideMark/>
          </w:tcPr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bCs/>
                <w:lang w:val="fr-FR"/>
              </w:rPr>
              <w:t>Postop</w:t>
            </w:r>
            <w:r w:rsidR="00E479B2" w:rsidRPr="000F041D">
              <w:rPr>
                <w:b/>
                <w:bCs/>
                <w:lang w:val="fr-FR"/>
              </w:rPr>
              <w:t>é</w:t>
            </w:r>
            <w:r w:rsidRPr="000F041D">
              <w:rPr>
                <w:b/>
                <w:bCs/>
                <w:lang w:val="fr-FR"/>
              </w:rPr>
              <w:t>rat</w:t>
            </w:r>
            <w:r w:rsidR="00E479B2" w:rsidRPr="000F041D">
              <w:rPr>
                <w:b/>
                <w:bCs/>
                <w:lang w:val="fr-FR"/>
              </w:rPr>
              <w:t>oire</w:t>
            </w:r>
          </w:p>
        </w:tc>
        <w:tc>
          <w:tcPr>
            <w:tcW w:w="60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ADCCEA" w:themeFill="accent1" w:themeFillTint="7F"/>
            <w:hideMark/>
          </w:tcPr>
          <w:p w:rsidR="00E27362" w:rsidRPr="000F041D" w:rsidRDefault="00F20831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>Paracétamol o</w:t>
            </w:r>
            <w:r w:rsidR="00E27362" w:rsidRPr="000F041D">
              <w:rPr>
                <w:lang w:val="fr-FR"/>
              </w:rPr>
              <w:t xml:space="preserve">ral + </w:t>
            </w:r>
            <w:r w:rsidRPr="000F041D">
              <w:rPr>
                <w:lang w:val="fr-FR"/>
              </w:rPr>
              <w:t xml:space="preserve">AINS </w:t>
            </w:r>
            <w:r w:rsidR="00E27362" w:rsidRPr="000F041D">
              <w:rPr>
                <w:lang w:val="fr-FR"/>
              </w:rPr>
              <w:t xml:space="preserve">oral + </w:t>
            </w:r>
            <w:r w:rsidRPr="000F041D">
              <w:rPr>
                <w:lang w:val="fr-FR"/>
              </w:rPr>
              <w:t xml:space="preserve">opioïde </w:t>
            </w:r>
            <w:r w:rsidR="00E27362" w:rsidRPr="000F041D">
              <w:rPr>
                <w:lang w:val="fr-FR"/>
              </w:rPr>
              <w:t>syst</w:t>
            </w:r>
            <w:r w:rsidRPr="000F041D">
              <w:rPr>
                <w:lang w:val="fr-FR"/>
              </w:rPr>
              <w:t>é</w:t>
            </w:r>
            <w:r w:rsidR="00E27362" w:rsidRPr="000F041D">
              <w:rPr>
                <w:lang w:val="fr-FR"/>
              </w:rPr>
              <w:t>mi</w:t>
            </w:r>
            <w:r w:rsidRPr="000F041D">
              <w:rPr>
                <w:lang w:val="fr-FR"/>
              </w:rPr>
              <w:t>que</w:t>
            </w:r>
            <w:r w:rsidR="002D7AF4" w:rsidRPr="000F041D">
              <w:rPr>
                <w:lang w:val="fr-FR"/>
              </w:rPr>
              <w:t xml:space="preserve"> </w:t>
            </w:r>
            <w:r w:rsidRPr="000F041D">
              <w:rPr>
                <w:lang w:val="fr-FR"/>
              </w:rPr>
              <w:t>comme secours</w:t>
            </w:r>
          </w:p>
        </w:tc>
      </w:tr>
      <w:tr w:rsidR="00E27362" w:rsidRPr="000F041D" w:rsidTr="00E27362">
        <w:trPr>
          <w:trHeight w:val="18"/>
        </w:trPr>
        <w:tc>
          <w:tcPr>
            <w:tcW w:w="0" w:type="auto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</w:p>
        </w:tc>
        <w:tc>
          <w:tcPr>
            <w:tcW w:w="6095" w:type="dxa"/>
            <w:tcBorders>
              <w:top w:val="single" w:sz="8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D6E6F4" w:themeFill="accent1" w:themeFillTint="3F"/>
            <w:hideMark/>
          </w:tcPr>
          <w:p w:rsidR="00E27362" w:rsidRPr="000F041D" w:rsidRDefault="00F20831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>Perfusion continue de la plaie avec</w:t>
            </w:r>
            <w:r w:rsidR="002D7AF4" w:rsidRPr="000F041D">
              <w:rPr>
                <w:lang w:val="fr-FR"/>
              </w:rPr>
              <w:t xml:space="preserve"> </w:t>
            </w:r>
            <w:r w:rsidR="00927DA1" w:rsidRPr="000F041D">
              <w:rPr>
                <w:lang w:val="fr-FR"/>
              </w:rPr>
              <w:t>AL</w:t>
            </w:r>
          </w:p>
        </w:tc>
      </w:tr>
      <w:tr w:rsidR="00E27362" w:rsidRPr="000F041D" w:rsidTr="00E27362">
        <w:trPr>
          <w:trHeight w:val="18"/>
        </w:trPr>
        <w:tc>
          <w:tcPr>
            <w:tcW w:w="918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hideMark/>
          </w:tcPr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Cs/>
                <w:lang w:val="fr-FR"/>
              </w:rPr>
              <w:t xml:space="preserve">* </w:t>
            </w:r>
            <w:r w:rsidR="00235F4F" w:rsidRPr="000F041D">
              <w:rPr>
                <w:bCs/>
                <w:lang w:val="fr-FR"/>
              </w:rPr>
              <w:t xml:space="preserve">La </w:t>
            </w:r>
            <w:r w:rsidRPr="000F041D">
              <w:rPr>
                <w:bCs/>
                <w:lang w:val="fr-FR"/>
              </w:rPr>
              <w:t>morphine</w:t>
            </w:r>
            <w:r w:rsidR="00927DA1" w:rsidRPr="000F041D">
              <w:rPr>
                <w:bCs/>
                <w:lang w:val="fr-FR"/>
              </w:rPr>
              <w:t xml:space="preserve"> IT</w:t>
            </w:r>
            <w:r w:rsidRPr="000F041D">
              <w:rPr>
                <w:bCs/>
                <w:lang w:val="fr-FR"/>
              </w:rPr>
              <w:t>/</w:t>
            </w:r>
            <w:r w:rsidR="00235F4F" w:rsidRPr="000F041D">
              <w:rPr>
                <w:bCs/>
                <w:lang w:val="fr-FR"/>
              </w:rPr>
              <w:t xml:space="preserve">les </w:t>
            </w:r>
            <w:r w:rsidR="00927DA1" w:rsidRPr="000F041D">
              <w:rPr>
                <w:bCs/>
                <w:lang w:val="fr-FR"/>
              </w:rPr>
              <w:t xml:space="preserve">opioïdes </w:t>
            </w:r>
            <w:r w:rsidR="002A3791" w:rsidRPr="000F041D">
              <w:rPr>
                <w:bCs/>
                <w:lang w:val="fr-FR"/>
              </w:rPr>
              <w:t>périd</w:t>
            </w:r>
            <w:r w:rsidRPr="000F041D">
              <w:rPr>
                <w:bCs/>
                <w:lang w:val="fr-FR"/>
              </w:rPr>
              <w:t>ura</w:t>
            </w:r>
            <w:r w:rsidR="00927DA1" w:rsidRPr="000F041D">
              <w:rPr>
                <w:bCs/>
                <w:lang w:val="fr-FR"/>
              </w:rPr>
              <w:t xml:space="preserve">ux sont </w:t>
            </w:r>
            <w:r w:rsidRPr="000F041D">
              <w:rPr>
                <w:bCs/>
                <w:lang w:val="fr-FR"/>
              </w:rPr>
              <w:t>recomm</w:t>
            </w:r>
            <w:r w:rsidR="00927DA1" w:rsidRPr="000F041D">
              <w:rPr>
                <w:bCs/>
                <w:lang w:val="fr-FR"/>
              </w:rPr>
              <w:t>a</w:t>
            </w:r>
            <w:r w:rsidRPr="000F041D">
              <w:rPr>
                <w:bCs/>
                <w:lang w:val="fr-FR"/>
              </w:rPr>
              <w:t>nd</w:t>
            </w:r>
            <w:r w:rsidR="00927DA1" w:rsidRPr="000F041D">
              <w:rPr>
                <w:bCs/>
                <w:lang w:val="fr-FR"/>
              </w:rPr>
              <w:t>és</w:t>
            </w:r>
            <w:r w:rsidRPr="000F041D">
              <w:rPr>
                <w:bCs/>
                <w:lang w:val="fr-FR"/>
              </w:rPr>
              <w:t xml:space="preserve">, </w:t>
            </w:r>
            <w:r w:rsidR="00927DA1" w:rsidRPr="000F041D">
              <w:rPr>
                <w:bCs/>
                <w:lang w:val="fr-FR"/>
              </w:rPr>
              <w:t>mais des</w:t>
            </w:r>
            <w:r w:rsidR="002D7AF4" w:rsidRPr="000F041D">
              <w:rPr>
                <w:bCs/>
                <w:lang w:val="fr-FR"/>
              </w:rPr>
              <w:t xml:space="preserve"> </w:t>
            </w:r>
            <w:r w:rsidR="00927DA1" w:rsidRPr="000F041D">
              <w:rPr>
                <w:bCs/>
                <w:lang w:val="fr-FR"/>
              </w:rPr>
              <w:t xml:space="preserve">techniques </w:t>
            </w:r>
            <w:r w:rsidRPr="000F041D">
              <w:rPr>
                <w:bCs/>
                <w:lang w:val="fr-FR"/>
              </w:rPr>
              <w:t>analg</w:t>
            </w:r>
            <w:r w:rsidR="00927DA1" w:rsidRPr="000F041D">
              <w:rPr>
                <w:bCs/>
                <w:lang w:val="fr-FR"/>
              </w:rPr>
              <w:t>é</w:t>
            </w:r>
            <w:r w:rsidRPr="000F041D">
              <w:rPr>
                <w:bCs/>
                <w:lang w:val="fr-FR"/>
              </w:rPr>
              <w:t>si</w:t>
            </w:r>
            <w:r w:rsidR="00927DA1" w:rsidRPr="000F041D">
              <w:rPr>
                <w:bCs/>
                <w:lang w:val="fr-FR"/>
              </w:rPr>
              <w:t>ques</w:t>
            </w:r>
            <w:r w:rsidR="002D7AF4" w:rsidRPr="000F041D">
              <w:rPr>
                <w:bCs/>
                <w:lang w:val="fr-FR"/>
              </w:rPr>
              <w:t xml:space="preserve"> </w:t>
            </w:r>
            <w:r w:rsidR="00927DA1" w:rsidRPr="000F041D">
              <w:rPr>
                <w:bCs/>
                <w:lang w:val="fr-FR"/>
              </w:rPr>
              <w:t>alternatives comme l’</w:t>
            </w:r>
            <w:r w:rsidRPr="000F041D">
              <w:rPr>
                <w:bCs/>
                <w:lang w:val="fr-FR"/>
              </w:rPr>
              <w:t xml:space="preserve">infiltration </w:t>
            </w:r>
            <w:r w:rsidR="00927DA1" w:rsidRPr="000F041D">
              <w:rPr>
                <w:bCs/>
                <w:lang w:val="fr-FR"/>
              </w:rPr>
              <w:t xml:space="preserve">de la plaie avec </w:t>
            </w:r>
            <w:r w:rsidRPr="000F041D">
              <w:rPr>
                <w:bCs/>
                <w:lang w:val="fr-FR"/>
              </w:rPr>
              <w:t>A</w:t>
            </w:r>
            <w:r w:rsidR="00927DA1" w:rsidRPr="000F041D">
              <w:rPr>
                <w:bCs/>
                <w:lang w:val="fr-FR"/>
              </w:rPr>
              <w:t>L</w:t>
            </w:r>
            <w:r w:rsidRPr="000F041D">
              <w:rPr>
                <w:bCs/>
                <w:lang w:val="fr-FR"/>
              </w:rPr>
              <w:t xml:space="preserve">, </w:t>
            </w:r>
            <w:r w:rsidR="00927DA1" w:rsidRPr="000F041D">
              <w:rPr>
                <w:bCs/>
                <w:lang w:val="fr-FR"/>
              </w:rPr>
              <w:t xml:space="preserve">bloc </w:t>
            </w:r>
            <w:r w:rsidRPr="000F041D">
              <w:rPr>
                <w:bCs/>
                <w:lang w:val="fr-FR"/>
              </w:rPr>
              <w:t xml:space="preserve">TAP, </w:t>
            </w:r>
            <w:r w:rsidR="00927DA1" w:rsidRPr="000F041D">
              <w:rPr>
                <w:bCs/>
                <w:lang w:val="fr-FR"/>
              </w:rPr>
              <w:t xml:space="preserve">blocs </w:t>
            </w:r>
            <w:r w:rsidRPr="000F041D">
              <w:rPr>
                <w:bCs/>
                <w:lang w:val="fr-FR"/>
              </w:rPr>
              <w:t>ilio</w:t>
            </w:r>
            <w:r w:rsidR="00927DA1" w:rsidRPr="000F041D">
              <w:rPr>
                <w:bCs/>
                <w:lang w:val="fr-FR"/>
              </w:rPr>
              <w:t>-</w:t>
            </w:r>
            <w:r w:rsidRPr="000F041D">
              <w:rPr>
                <w:bCs/>
                <w:lang w:val="fr-FR"/>
              </w:rPr>
              <w:t>hypogastri</w:t>
            </w:r>
            <w:r w:rsidR="00927DA1" w:rsidRPr="000F041D">
              <w:rPr>
                <w:bCs/>
                <w:lang w:val="fr-FR"/>
              </w:rPr>
              <w:t>que</w:t>
            </w:r>
            <w:r w:rsidR="00235F4F" w:rsidRPr="000F041D">
              <w:rPr>
                <w:bCs/>
                <w:lang w:val="fr-FR"/>
              </w:rPr>
              <w:t>s</w:t>
            </w:r>
            <w:r w:rsidR="002D7AF4" w:rsidRPr="000F041D">
              <w:rPr>
                <w:bCs/>
                <w:lang w:val="fr-FR"/>
              </w:rPr>
              <w:t xml:space="preserve"> </w:t>
            </w:r>
            <w:r w:rsidR="00927DA1" w:rsidRPr="000F041D">
              <w:rPr>
                <w:bCs/>
                <w:lang w:val="fr-FR"/>
              </w:rPr>
              <w:t>et</w:t>
            </w:r>
            <w:r w:rsidRPr="000F041D">
              <w:rPr>
                <w:bCs/>
                <w:lang w:val="fr-FR"/>
              </w:rPr>
              <w:t xml:space="preserve"> ilio</w:t>
            </w:r>
            <w:r w:rsidR="00927DA1" w:rsidRPr="000F041D">
              <w:rPr>
                <w:bCs/>
                <w:lang w:val="fr-FR"/>
              </w:rPr>
              <w:t>-</w:t>
            </w:r>
            <w:r w:rsidR="00235F4F" w:rsidRPr="000F041D">
              <w:rPr>
                <w:bCs/>
                <w:lang w:val="fr-FR"/>
              </w:rPr>
              <w:t>inguinaux</w:t>
            </w:r>
            <w:r w:rsidRPr="000F041D">
              <w:rPr>
                <w:bCs/>
                <w:lang w:val="fr-FR"/>
              </w:rPr>
              <w:t xml:space="preserve"> </w:t>
            </w:r>
            <w:r w:rsidR="00927DA1" w:rsidRPr="000F041D">
              <w:rPr>
                <w:bCs/>
                <w:lang w:val="fr-FR"/>
              </w:rPr>
              <w:t>doivent être prises en</w:t>
            </w:r>
            <w:r w:rsidRPr="000F041D">
              <w:rPr>
                <w:bCs/>
                <w:lang w:val="fr-FR"/>
              </w:rPr>
              <w:t xml:space="preserve"> consid</w:t>
            </w:r>
            <w:r w:rsidR="00927DA1" w:rsidRPr="000F041D">
              <w:rPr>
                <w:bCs/>
                <w:lang w:val="fr-FR"/>
              </w:rPr>
              <w:t>é</w:t>
            </w:r>
            <w:r w:rsidRPr="000F041D">
              <w:rPr>
                <w:bCs/>
                <w:lang w:val="fr-FR"/>
              </w:rPr>
              <w:t>r</w:t>
            </w:r>
            <w:r w:rsidR="00927DA1" w:rsidRPr="000F041D">
              <w:rPr>
                <w:bCs/>
                <w:lang w:val="fr-FR"/>
              </w:rPr>
              <w:t xml:space="preserve">ation pour éviter les éventuels effets indésirables liés aux opioïdes </w:t>
            </w:r>
            <w:r w:rsidRPr="000F041D">
              <w:rPr>
                <w:bCs/>
                <w:lang w:val="fr-FR"/>
              </w:rPr>
              <w:t>neuraxia</w:t>
            </w:r>
            <w:r w:rsidR="00927DA1" w:rsidRPr="000F041D">
              <w:rPr>
                <w:bCs/>
                <w:lang w:val="fr-FR"/>
              </w:rPr>
              <w:t>ux</w:t>
            </w:r>
          </w:p>
          <w:p w:rsidR="00E27362" w:rsidRPr="000F041D" w:rsidRDefault="00414DF6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vertAlign w:val="superscript"/>
                <w:lang w:val="fr-FR"/>
              </w:rPr>
              <w:t xml:space="preserve"># </w:t>
            </w:r>
            <w:r w:rsidR="00927DA1" w:rsidRPr="000F041D">
              <w:rPr>
                <w:bCs/>
                <w:lang w:val="fr-FR"/>
              </w:rPr>
              <w:t>Le paracétamol</w:t>
            </w:r>
            <w:r w:rsidR="00E27362" w:rsidRPr="000F041D">
              <w:rPr>
                <w:bCs/>
                <w:lang w:val="fr-FR"/>
              </w:rPr>
              <w:t xml:space="preserve"> IV </w:t>
            </w:r>
            <w:r w:rsidR="00927DA1" w:rsidRPr="000F041D">
              <w:rPr>
                <w:bCs/>
                <w:lang w:val="fr-FR"/>
              </w:rPr>
              <w:t>et les AINS</w:t>
            </w:r>
            <w:r w:rsidR="00E27362" w:rsidRPr="000F041D">
              <w:rPr>
                <w:bCs/>
                <w:lang w:val="fr-FR"/>
              </w:rPr>
              <w:t xml:space="preserve"> IV </w:t>
            </w:r>
            <w:r w:rsidR="00927DA1" w:rsidRPr="000F041D">
              <w:rPr>
                <w:bCs/>
                <w:lang w:val="fr-FR"/>
              </w:rPr>
              <w:t>ne sont pas forcément nécessaire</w:t>
            </w:r>
            <w:r w:rsidRPr="000F041D">
              <w:rPr>
                <w:bCs/>
                <w:lang w:val="fr-FR"/>
              </w:rPr>
              <w:t>s si des</w:t>
            </w:r>
            <w:r w:rsidR="002D7AF4" w:rsidRPr="000F041D">
              <w:rPr>
                <w:bCs/>
                <w:lang w:val="fr-FR"/>
              </w:rPr>
              <w:t xml:space="preserve"> </w:t>
            </w:r>
            <w:r w:rsidRPr="000F041D">
              <w:rPr>
                <w:bCs/>
                <w:lang w:val="fr-FR"/>
              </w:rPr>
              <w:t>opioïdes neuraxiaux sont utilisés</w:t>
            </w:r>
          </w:p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Cs/>
                <w:vertAlign w:val="superscript"/>
                <w:lang w:val="fr-FR"/>
              </w:rPr>
              <w:t>†</w:t>
            </w:r>
            <w:r w:rsidR="00414DF6" w:rsidRPr="000F041D">
              <w:rPr>
                <w:bCs/>
                <w:lang w:val="fr-FR"/>
              </w:rPr>
              <w:t>Parmi les</w:t>
            </w:r>
            <w:r w:rsidR="002D7AF4" w:rsidRPr="000F041D">
              <w:rPr>
                <w:bCs/>
                <w:lang w:val="fr-FR"/>
              </w:rPr>
              <w:t xml:space="preserve"> </w:t>
            </w:r>
            <w:r w:rsidR="00414DF6" w:rsidRPr="000F041D">
              <w:rPr>
                <w:bCs/>
                <w:lang w:val="fr-FR"/>
              </w:rPr>
              <w:t xml:space="preserve">incisions </w:t>
            </w:r>
            <w:r w:rsidRPr="000F041D">
              <w:rPr>
                <w:bCs/>
                <w:lang w:val="fr-FR"/>
              </w:rPr>
              <w:t>transvers</w:t>
            </w:r>
            <w:r w:rsidR="00414DF6" w:rsidRPr="000F041D">
              <w:rPr>
                <w:bCs/>
                <w:lang w:val="fr-FR"/>
              </w:rPr>
              <w:t>ales</w:t>
            </w:r>
            <w:r w:rsidRPr="000F041D">
              <w:rPr>
                <w:bCs/>
                <w:lang w:val="fr-FR"/>
              </w:rPr>
              <w:t xml:space="preserve">, </w:t>
            </w:r>
            <w:r w:rsidR="00414DF6" w:rsidRPr="000F041D">
              <w:rPr>
                <w:bCs/>
                <w:lang w:val="fr-FR"/>
              </w:rPr>
              <w:t xml:space="preserve">l’incision de </w:t>
            </w:r>
            <w:r w:rsidRPr="000F041D">
              <w:rPr>
                <w:bCs/>
                <w:lang w:val="fr-FR"/>
              </w:rPr>
              <w:t xml:space="preserve">Joel-Cohen </w:t>
            </w:r>
            <w:r w:rsidR="00414DF6" w:rsidRPr="000F041D">
              <w:rPr>
                <w:bCs/>
                <w:lang w:val="fr-FR"/>
              </w:rPr>
              <w:t>et des</w:t>
            </w:r>
            <w:r w:rsidRPr="000F041D">
              <w:rPr>
                <w:bCs/>
                <w:lang w:val="fr-FR"/>
              </w:rPr>
              <w:t xml:space="preserve"> modifications </w:t>
            </w:r>
            <w:r w:rsidR="00414DF6" w:rsidRPr="000F041D">
              <w:rPr>
                <w:bCs/>
                <w:lang w:val="fr-FR"/>
              </w:rPr>
              <w:t xml:space="preserve">similaires sont supérieures à l’incision de </w:t>
            </w:r>
            <w:r w:rsidRPr="000F041D">
              <w:rPr>
                <w:bCs/>
                <w:lang w:val="fr-FR"/>
              </w:rPr>
              <w:t>Pfannenstiel</w:t>
            </w:r>
            <w:r w:rsidR="002D7AF4" w:rsidRPr="000F041D">
              <w:rPr>
                <w:bCs/>
                <w:lang w:val="fr-FR"/>
              </w:rPr>
              <w:t xml:space="preserve"> </w:t>
            </w:r>
            <w:r w:rsidR="00414DF6" w:rsidRPr="000F041D">
              <w:rPr>
                <w:bCs/>
                <w:lang w:val="fr-FR"/>
              </w:rPr>
              <w:t>pour des résultats liés à une douleur</w:t>
            </w:r>
            <w:r w:rsidRPr="000F041D">
              <w:rPr>
                <w:bCs/>
                <w:lang w:val="fr-FR"/>
              </w:rPr>
              <w:t xml:space="preserve"> postop</w:t>
            </w:r>
            <w:r w:rsidR="00414DF6" w:rsidRPr="000F041D">
              <w:rPr>
                <w:bCs/>
                <w:lang w:val="fr-FR"/>
              </w:rPr>
              <w:t>é</w:t>
            </w:r>
            <w:r w:rsidRPr="000F041D">
              <w:rPr>
                <w:bCs/>
                <w:lang w:val="fr-FR"/>
              </w:rPr>
              <w:t>rat</w:t>
            </w:r>
            <w:r w:rsidR="00414DF6" w:rsidRPr="000F041D">
              <w:rPr>
                <w:bCs/>
                <w:lang w:val="fr-FR"/>
              </w:rPr>
              <w:t>oire</w:t>
            </w:r>
          </w:p>
        </w:tc>
      </w:tr>
    </w:tbl>
    <w:p w:rsidR="00E27362" w:rsidRPr="000F041D" w:rsidRDefault="00E27362" w:rsidP="00E27362">
      <w:pPr>
        <w:spacing w:line="240" w:lineRule="auto"/>
        <w:rPr>
          <w:lang w:val="fr-FR"/>
        </w:rPr>
      </w:pPr>
    </w:p>
    <w:p w:rsidR="00E27362" w:rsidRPr="000F041D" w:rsidRDefault="00E27362" w:rsidP="00E27362">
      <w:pPr>
        <w:spacing w:line="240" w:lineRule="auto"/>
        <w:rPr>
          <w:lang w:val="fr-FR"/>
        </w:rPr>
      </w:pPr>
      <w:r w:rsidRPr="000F041D">
        <w:rPr>
          <w:lang w:val="fr-FR"/>
        </w:rPr>
        <w:t>No</w:t>
      </w:r>
      <w:r w:rsidR="00F20831" w:rsidRPr="000F041D">
        <w:rPr>
          <w:lang w:val="fr-FR"/>
        </w:rPr>
        <w:t xml:space="preserve">n </w:t>
      </w:r>
      <w:r w:rsidRPr="000F041D">
        <w:rPr>
          <w:lang w:val="fr-FR"/>
        </w:rPr>
        <w:t>recomm</w:t>
      </w:r>
      <w:r w:rsidR="00F20831" w:rsidRPr="000F041D">
        <w:rPr>
          <w:lang w:val="fr-FR"/>
        </w:rPr>
        <w:t>a</w:t>
      </w:r>
      <w:r w:rsidRPr="000F041D">
        <w:rPr>
          <w:lang w:val="fr-FR"/>
        </w:rPr>
        <w:t>nd</w:t>
      </w:r>
      <w:r w:rsidR="00F20831" w:rsidRPr="000F041D">
        <w:rPr>
          <w:lang w:val="fr-FR"/>
        </w:rPr>
        <w:t>é</w:t>
      </w:r>
      <w:r w:rsidR="002D7AF4" w:rsidRPr="000F041D">
        <w:rPr>
          <w:lang w:val="fr-FR"/>
        </w:rPr>
        <w:t xml:space="preserve"> </w:t>
      </w:r>
      <w:r w:rsidR="00F20831" w:rsidRPr="000F041D">
        <w:rPr>
          <w:lang w:val="fr-FR"/>
        </w:rPr>
        <w:t>pour les césariennes</w:t>
      </w:r>
      <w:r w:rsidRPr="000F041D">
        <w:rPr>
          <w:lang w:val="fr-FR"/>
        </w:rPr>
        <w:br/>
      </w:r>
      <w:r w:rsidRPr="000F041D">
        <w:rPr>
          <w:lang w:val="fr-FR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6730"/>
      </w:tblGrid>
      <w:tr w:rsidR="00457197" w:rsidRPr="000F041D" w:rsidTr="00E273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lastRenderedPageBreak/>
              <w:t>Dexam</w:t>
            </w:r>
            <w:r w:rsidR="00414DF6" w:rsidRPr="000F041D">
              <w:rPr>
                <w:b/>
                <w:lang w:val="fr-FR"/>
              </w:rPr>
              <w:t>é</w:t>
            </w:r>
            <w:r w:rsidRPr="000F041D">
              <w:rPr>
                <w:b/>
                <w:lang w:val="fr-FR"/>
              </w:rPr>
              <w:t>thasone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715EFD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 xml:space="preserve">La </w:t>
            </w:r>
            <w:r w:rsidR="00E27362" w:rsidRPr="000F041D">
              <w:rPr>
                <w:lang w:val="fr-FR"/>
              </w:rPr>
              <w:t>dexam</w:t>
            </w:r>
            <w:r w:rsidRPr="000F041D">
              <w:rPr>
                <w:lang w:val="fr-FR"/>
              </w:rPr>
              <w:t>é</w:t>
            </w:r>
            <w:r w:rsidR="00E27362" w:rsidRPr="000F041D">
              <w:rPr>
                <w:lang w:val="fr-FR"/>
              </w:rPr>
              <w:t xml:space="preserve">thasone </w:t>
            </w:r>
            <w:r w:rsidRPr="000F041D">
              <w:rPr>
                <w:lang w:val="fr-FR"/>
              </w:rPr>
              <w:t>préopératoire ne peut être</w:t>
            </w:r>
            <w:r w:rsidR="00E27362" w:rsidRPr="000F041D">
              <w:rPr>
                <w:lang w:val="fr-FR"/>
              </w:rPr>
              <w:t xml:space="preserve"> recomm</w:t>
            </w:r>
            <w:r w:rsidRPr="000F041D">
              <w:rPr>
                <w:lang w:val="fr-FR"/>
              </w:rPr>
              <w:t>a</w:t>
            </w:r>
            <w:r w:rsidR="00E27362" w:rsidRPr="000F041D">
              <w:rPr>
                <w:lang w:val="fr-FR"/>
              </w:rPr>
              <w:t>nd</w:t>
            </w:r>
            <w:r w:rsidRPr="000F041D">
              <w:rPr>
                <w:lang w:val="fr-FR"/>
              </w:rPr>
              <w:t xml:space="preserve">ée à ce moment </w:t>
            </w:r>
            <w:r w:rsidR="00E27362" w:rsidRPr="000F041D">
              <w:rPr>
                <w:lang w:val="fr-FR"/>
              </w:rPr>
              <w:t>(G</w:t>
            </w:r>
            <w:r w:rsidRPr="000F041D">
              <w:rPr>
                <w:lang w:val="fr-FR"/>
              </w:rPr>
              <w:t>d</w:t>
            </w:r>
            <w:r w:rsidR="00E27362" w:rsidRPr="000F041D">
              <w:rPr>
                <w:lang w:val="fr-FR"/>
              </w:rPr>
              <w:t xml:space="preserve">R D) </w:t>
            </w:r>
            <w:r w:rsidRPr="000F041D">
              <w:rPr>
                <w:lang w:val="fr-FR"/>
              </w:rPr>
              <w:t>sur la base de la preuve propre à la procédure pratiquée</w:t>
            </w:r>
          </w:p>
        </w:tc>
      </w:tr>
      <w:tr w:rsidR="00457197" w:rsidRPr="000F041D" w:rsidTr="00E273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715EFD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t>C</w:t>
            </w:r>
            <w:r w:rsidR="00E27362" w:rsidRPr="000F041D">
              <w:rPr>
                <w:b/>
                <w:lang w:val="fr-FR"/>
              </w:rPr>
              <w:t>lonidine</w:t>
            </w:r>
            <w:r w:rsidR="002D7AF4" w:rsidRPr="000F041D">
              <w:rPr>
                <w:b/>
                <w:lang w:val="fr-FR"/>
              </w:rPr>
              <w:t xml:space="preserve"> </w:t>
            </w:r>
            <w:r w:rsidRPr="000F041D">
              <w:rPr>
                <w:b/>
                <w:lang w:val="fr-FR"/>
              </w:rPr>
              <w:t>neuraxiale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715EFD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 xml:space="preserve">La </w:t>
            </w:r>
            <w:r w:rsidR="00E27362" w:rsidRPr="000F041D">
              <w:rPr>
                <w:lang w:val="fr-FR"/>
              </w:rPr>
              <w:t>clonidine</w:t>
            </w:r>
            <w:r w:rsidR="002D7AF4" w:rsidRPr="000F041D">
              <w:rPr>
                <w:lang w:val="fr-FR"/>
              </w:rPr>
              <w:t xml:space="preserve"> </w:t>
            </w:r>
            <w:r w:rsidRPr="000F041D">
              <w:rPr>
                <w:lang w:val="fr-FR"/>
              </w:rPr>
              <w:t>neuraxiale</w:t>
            </w:r>
            <w:r w:rsidR="002D7AF4" w:rsidRPr="000F041D">
              <w:rPr>
                <w:lang w:val="fr-FR"/>
              </w:rPr>
              <w:t xml:space="preserve"> </w:t>
            </w:r>
            <w:r w:rsidR="00D771D1" w:rsidRPr="000F041D">
              <w:rPr>
                <w:lang w:val="fr-FR"/>
              </w:rPr>
              <w:t xml:space="preserve">n’est pas recommandée </w:t>
            </w:r>
            <w:r w:rsidR="00E27362" w:rsidRPr="000F041D">
              <w:rPr>
                <w:lang w:val="fr-FR"/>
              </w:rPr>
              <w:t>(G</w:t>
            </w:r>
            <w:r w:rsidRPr="000F041D">
              <w:rPr>
                <w:lang w:val="fr-FR"/>
              </w:rPr>
              <w:t>d</w:t>
            </w:r>
            <w:r w:rsidR="00E27362" w:rsidRPr="000F041D">
              <w:rPr>
                <w:lang w:val="fr-FR"/>
              </w:rPr>
              <w:t xml:space="preserve">R D), </w:t>
            </w:r>
            <w:r w:rsidRPr="000F041D">
              <w:rPr>
                <w:lang w:val="fr-FR"/>
              </w:rPr>
              <w:t xml:space="preserve">bien que </w:t>
            </w:r>
            <w:r w:rsidR="00D771D1" w:rsidRPr="000F041D">
              <w:rPr>
                <w:lang w:val="fr-FR"/>
              </w:rPr>
              <w:t>la preuve propre à la procédure pratiquée indique qu’elle assure une analgésie s</w:t>
            </w:r>
            <w:r w:rsidR="00E27362" w:rsidRPr="000F041D">
              <w:rPr>
                <w:lang w:val="fr-FR"/>
              </w:rPr>
              <w:t>up</w:t>
            </w:r>
            <w:r w:rsidR="00D771D1" w:rsidRPr="000F041D">
              <w:rPr>
                <w:lang w:val="fr-FR"/>
              </w:rPr>
              <w:t>é</w:t>
            </w:r>
            <w:r w:rsidR="00E27362" w:rsidRPr="000F041D">
              <w:rPr>
                <w:lang w:val="fr-FR"/>
              </w:rPr>
              <w:t>ri</w:t>
            </w:r>
            <w:r w:rsidR="00D771D1" w:rsidRPr="000F041D">
              <w:rPr>
                <w:lang w:val="fr-FR"/>
              </w:rPr>
              <w:t>eure, en raison des</w:t>
            </w:r>
            <w:r w:rsidR="00E27362" w:rsidRPr="000F041D">
              <w:rPr>
                <w:lang w:val="fr-FR"/>
              </w:rPr>
              <w:t xml:space="preserve"> effets</w:t>
            </w:r>
            <w:r w:rsidR="00D771D1" w:rsidRPr="000F041D">
              <w:rPr>
                <w:lang w:val="fr-FR"/>
              </w:rPr>
              <w:t xml:space="preserve"> indésirables</w:t>
            </w:r>
            <w:r w:rsidR="00E27362" w:rsidRPr="000F041D">
              <w:rPr>
                <w:lang w:val="fr-FR"/>
              </w:rPr>
              <w:t xml:space="preserve"> (</w:t>
            </w:r>
            <w:r w:rsidR="00D771D1" w:rsidRPr="000F041D">
              <w:rPr>
                <w:lang w:val="fr-FR"/>
              </w:rPr>
              <w:t xml:space="preserve">p. ex. </w:t>
            </w:r>
            <w:r w:rsidR="00E27362" w:rsidRPr="000F041D">
              <w:rPr>
                <w:lang w:val="fr-FR"/>
              </w:rPr>
              <w:t>hypotension)</w:t>
            </w:r>
          </w:p>
        </w:tc>
      </w:tr>
      <w:tr w:rsidR="00457197" w:rsidRPr="000F041D" w:rsidTr="00E273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t>K</w:t>
            </w:r>
            <w:r w:rsidR="00414DF6" w:rsidRPr="000F041D">
              <w:rPr>
                <w:b/>
                <w:lang w:val="fr-FR"/>
              </w:rPr>
              <w:t>é</w:t>
            </w:r>
            <w:r w:rsidRPr="000F041D">
              <w:rPr>
                <w:b/>
                <w:lang w:val="fr-FR"/>
              </w:rPr>
              <w:t>tamine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D771D1" w:rsidP="00235F4F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>La ké</w:t>
            </w:r>
            <w:r w:rsidR="00E27362" w:rsidRPr="000F041D">
              <w:rPr>
                <w:lang w:val="fr-FR"/>
              </w:rPr>
              <w:t xml:space="preserve">tamine </w:t>
            </w:r>
            <w:r w:rsidRPr="000F041D">
              <w:rPr>
                <w:lang w:val="fr-FR"/>
              </w:rPr>
              <w:t xml:space="preserve">ne peut être recommandée </w:t>
            </w:r>
            <w:r w:rsidR="00235F4F" w:rsidRPr="000F041D">
              <w:rPr>
                <w:lang w:val="fr-FR"/>
              </w:rPr>
              <w:t>à ce moment</w:t>
            </w:r>
            <w:r w:rsidR="00E27362" w:rsidRPr="000F041D">
              <w:rPr>
                <w:lang w:val="fr-FR"/>
              </w:rPr>
              <w:t xml:space="preserve"> (G</w:t>
            </w:r>
            <w:r w:rsidR="00457197" w:rsidRPr="000F041D">
              <w:rPr>
                <w:lang w:val="fr-FR"/>
              </w:rPr>
              <w:t>d</w:t>
            </w:r>
            <w:r w:rsidR="00E27362" w:rsidRPr="000F041D">
              <w:rPr>
                <w:lang w:val="fr-FR"/>
              </w:rPr>
              <w:t xml:space="preserve">R D) </w:t>
            </w:r>
            <w:r w:rsidRPr="000F041D">
              <w:rPr>
                <w:lang w:val="fr-FR"/>
              </w:rPr>
              <w:t>sur la base de la preuve incohérente propre à la procédure pratiquée</w:t>
            </w:r>
          </w:p>
        </w:tc>
      </w:tr>
      <w:tr w:rsidR="00457197" w:rsidRPr="000F041D" w:rsidTr="00E273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E27362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t>TENS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D771D1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 xml:space="preserve">La </w:t>
            </w:r>
            <w:r w:rsidR="00E27362" w:rsidRPr="000F041D">
              <w:rPr>
                <w:lang w:val="fr-FR"/>
              </w:rPr>
              <w:t xml:space="preserve">TENS </w:t>
            </w:r>
            <w:r w:rsidRPr="000F041D">
              <w:rPr>
                <w:lang w:val="fr-FR"/>
              </w:rPr>
              <w:t>n’e</w:t>
            </w:r>
            <w:r w:rsidR="00457197" w:rsidRPr="000F041D">
              <w:rPr>
                <w:lang w:val="fr-FR"/>
              </w:rPr>
              <w:t>s</w:t>
            </w:r>
            <w:r w:rsidRPr="000F041D">
              <w:rPr>
                <w:lang w:val="fr-FR"/>
              </w:rPr>
              <w:t xml:space="preserve">t pas recommandée </w:t>
            </w:r>
            <w:r w:rsidR="00E27362" w:rsidRPr="000F041D">
              <w:rPr>
                <w:lang w:val="fr-FR"/>
              </w:rPr>
              <w:t>(G</w:t>
            </w:r>
            <w:r w:rsidRPr="000F041D">
              <w:rPr>
                <w:lang w:val="fr-FR"/>
              </w:rPr>
              <w:t>d</w:t>
            </w:r>
            <w:r w:rsidR="00E27362" w:rsidRPr="000F041D">
              <w:rPr>
                <w:lang w:val="fr-FR"/>
              </w:rPr>
              <w:t xml:space="preserve">R D) </w:t>
            </w:r>
            <w:r w:rsidRPr="000F041D">
              <w:rPr>
                <w:lang w:val="fr-FR"/>
              </w:rPr>
              <w:t xml:space="preserve">sur la base de la preuve </w:t>
            </w:r>
            <w:r w:rsidR="00457197" w:rsidRPr="000F041D">
              <w:rPr>
                <w:lang w:val="fr-FR"/>
              </w:rPr>
              <w:t>limitée</w:t>
            </w:r>
            <w:r w:rsidRPr="000F041D">
              <w:rPr>
                <w:lang w:val="fr-FR"/>
              </w:rPr>
              <w:t xml:space="preserve"> propre à la procédure pratiquée</w:t>
            </w:r>
          </w:p>
        </w:tc>
      </w:tr>
      <w:tr w:rsidR="00457197" w:rsidRPr="000F041D" w:rsidTr="00E273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457197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t>I</w:t>
            </w:r>
            <w:r w:rsidR="00E27362" w:rsidRPr="000F041D">
              <w:rPr>
                <w:b/>
                <w:lang w:val="fr-FR"/>
              </w:rPr>
              <w:t xml:space="preserve">nfiltration </w:t>
            </w:r>
            <w:r w:rsidRPr="000F041D">
              <w:rPr>
                <w:b/>
                <w:lang w:val="fr-FR"/>
              </w:rPr>
              <w:t>de la plaie avec des AINS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FC266B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>L’infiltration de la plaie avec des AINS n’est pas</w:t>
            </w:r>
            <w:r w:rsidR="00E27362" w:rsidRPr="000F041D">
              <w:rPr>
                <w:lang w:val="fr-FR"/>
              </w:rPr>
              <w:t xml:space="preserve"> recomm</w:t>
            </w:r>
            <w:r w:rsidRPr="000F041D">
              <w:rPr>
                <w:lang w:val="fr-FR"/>
              </w:rPr>
              <w:t>a</w:t>
            </w:r>
            <w:r w:rsidR="00E27362" w:rsidRPr="000F041D">
              <w:rPr>
                <w:lang w:val="fr-FR"/>
              </w:rPr>
              <w:t>nd</w:t>
            </w:r>
            <w:r w:rsidRPr="000F041D">
              <w:rPr>
                <w:lang w:val="fr-FR"/>
              </w:rPr>
              <w:t>ée à ce moment</w:t>
            </w:r>
            <w:r w:rsidR="00E27362" w:rsidRPr="000F041D">
              <w:rPr>
                <w:lang w:val="fr-FR"/>
              </w:rPr>
              <w:t xml:space="preserve"> (G</w:t>
            </w:r>
            <w:r w:rsidRPr="000F041D">
              <w:rPr>
                <w:lang w:val="fr-FR"/>
              </w:rPr>
              <w:t>d</w:t>
            </w:r>
            <w:r w:rsidR="00E27362" w:rsidRPr="000F041D">
              <w:rPr>
                <w:lang w:val="fr-FR"/>
              </w:rPr>
              <w:t xml:space="preserve">R D) </w:t>
            </w:r>
            <w:r w:rsidRPr="000F041D">
              <w:rPr>
                <w:lang w:val="fr-FR"/>
              </w:rPr>
              <w:t>car les données</w:t>
            </w:r>
            <w:r w:rsidR="00E27362" w:rsidRPr="000F041D">
              <w:rPr>
                <w:lang w:val="fr-FR"/>
              </w:rPr>
              <w:t xml:space="preserve"> comparative</w:t>
            </w:r>
            <w:r w:rsidRPr="000F041D">
              <w:rPr>
                <w:lang w:val="fr-FR"/>
              </w:rPr>
              <w:t>s concernant l’</w:t>
            </w:r>
            <w:r w:rsidR="00E27362" w:rsidRPr="000F041D">
              <w:rPr>
                <w:lang w:val="fr-FR"/>
              </w:rPr>
              <w:t>administration</w:t>
            </w:r>
            <w:r w:rsidRPr="000F041D">
              <w:rPr>
                <w:lang w:val="fr-FR"/>
              </w:rPr>
              <w:t xml:space="preserve"> systémique sont limitées</w:t>
            </w:r>
          </w:p>
        </w:tc>
      </w:tr>
      <w:tr w:rsidR="00457197" w:rsidRPr="000F041D" w:rsidTr="00E273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457197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b/>
                <w:lang w:val="fr-FR"/>
              </w:rPr>
              <w:t>Per</w:t>
            </w:r>
            <w:r w:rsidR="00E27362" w:rsidRPr="000F041D">
              <w:rPr>
                <w:b/>
                <w:lang w:val="fr-FR"/>
              </w:rPr>
              <w:t>fusion</w:t>
            </w:r>
            <w:r w:rsidRPr="000F041D">
              <w:rPr>
                <w:b/>
                <w:lang w:val="fr-FR"/>
              </w:rPr>
              <w:t xml:space="preserve"> continue de la plaie</w:t>
            </w:r>
            <w:r w:rsidR="007A120A" w:rsidRPr="000F041D">
              <w:rPr>
                <w:b/>
                <w:lang w:val="fr-FR"/>
              </w:rPr>
              <w:t xml:space="preserve"> </w:t>
            </w:r>
            <w:r w:rsidRPr="000F041D">
              <w:rPr>
                <w:b/>
                <w:lang w:val="fr-FR"/>
              </w:rPr>
              <w:t>avec des AINS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62" w:rsidRPr="000F041D" w:rsidRDefault="00FC266B" w:rsidP="00E27362">
            <w:pPr>
              <w:spacing w:line="240" w:lineRule="auto"/>
              <w:rPr>
                <w:lang w:val="fr-FR"/>
              </w:rPr>
            </w:pPr>
            <w:r w:rsidRPr="000F041D">
              <w:rPr>
                <w:lang w:val="fr-FR"/>
              </w:rPr>
              <w:t>La perfusion continue de la plaie avec des AINS</w:t>
            </w:r>
            <w:r w:rsidR="002D7AF4" w:rsidRPr="000F041D">
              <w:rPr>
                <w:lang w:val="fr-FR"/>
              </w:rPr>
              <w:t xml:space="preserve"> </w:t>
            </w:r>
            <w:r w:rsidRPr="000F041D">
              <w:rPr>
                <w:lang w:val="fr-FR"/>
              </w:rPr>
              <w:t xml:space="preserve">n’est pas recommandée </w:t>
            </w:r>
            <w:r w:rsidR="00E27362" w:rsidRPr="000F041D">
              <w:rPr>
                <w:lang w:val="fr-FR"/>
              </w:rPr>
              <w:t>(G</w:t>
            </w:r>
            <w:r w:rsidRPr="000F041D">
              <w:rPr>
                <w:lang w:val="fr-FR"/>
              </w:rPr>
              <w:t>d</w:t>
            </w:r>
            <w:r w:rsidR="00E27362" w:rsidRPr="000F041D">
              <w:rPr>
                <w:lang w:val="fr-FR"/>
              </w:rPr>
              <w:t xml:space="preserve">R D) </w:t>
            </w:r>
            <w:r w:rsidRPr="000F041D">
              <w:rPr>
                <w:lang w:val="fr-FR"/>
              </w:rPr>
              <w:t>sur la base de la preuve propre à la procédure pratiquée</w:t>
            </w:r>
          </w:p>
        </w:tc>
      </w:tr>
    </w:tbl>
    <w:p w:rsidR="00200555" w:rsidRPr="000F041D" w:rsidRDefault="00200555" w:rsidP="00E27362">
      <w:pPr>
        <w:spacing w:line="240" w:lineRule="auto"/>
        <w:rPr>
          <w:lang w:val="fr-FR"/>
        </w:rPr>
      </w:pPr>
      <w:bookmarkStart w:id="0" w:name="_GoBack"/>
      <w:bookmarkEnd w:id="0"/>
    </w:p>
    <w:sectPr w:rsidR="00200555" w:rsidRPr="000F041D" w:rsidSect="008B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3039"/>
    <w:multiLevelType w:val="multilevel"/>
    <w:tmpl w:val="489C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362"/>
    <w:rsid w:val="00004A64"/>
    <w:rsid w:val="000061FB"/>
    <w:rsid w:val="00024DD6"/>
    <w:rsid w:val="00030D97"/>
    <w:rsid w:val="000A0706"/>
    <w:rsid w:val="000B200F"/>
    <w:rsid w:val="000C0172"/>
    <w:rsid w:val="000C78FB"/>
    <w:rsid w:val="000F041D"/>
    <w:rsid w:val="000F297D"/>
    <w:rsid w:val="00103931"/>
    <w:rsid w:val="0013119A"/>
    <w:rsid w:val="00167761"/>
    <w:rsid w:val="001C2487"/>
    <w:rsid w:val="00200555"/>
    <w:rsid w:val="00235F4F"/>
    <w:rsid w:val="00282934"/>
    <w:rsid w:val="002A3791"/>
    <w:rsid w:val="002D53B7"/>
    <w:rsid w:val="002D7AF4"/>
    <w:rsid w:val="003047F4"/>
    <w:rsid w:val="00321116"/>
    <w:rsid w:val="00331BDF"/>
    <w:rsid w:val="00340A9E"/>
    <w:rsid w:val="00341148"/>
    <w:rsid w:val="0038243B"/>
    <w:rsid w:val="003D4187"/>
    <w:rsid w:val="00414DF6"/>
    <w:rsid w:val="004218D0"/>
    <w:rsid w:val="00430BE1"/>
    <w:rsid w:val="00457197"/>
    <w:rsid w:val="00481F57"/>
    <w:rsid w:val="004C77EB"/>
    <w:rsid w:val="004D1F09"/>
    <w:rsid w:val="004D4A04"/>
    <w:rsid w:val="004F5B25"/>
    <w:rsid w:val="00516FAB"/>
    <w:rsid w:val="005C770B"/>
    <w:rsid w:val="005E5C13"/>
    <w:rsid w:val="00614A2D"/>
    <w:rsid w:val="00621C26"/>
    <w:rsid w:val="00640F24"/>
    <w:rsid w:val="00660CAE"/>
    <w:rsid w:val="00693F04"/>
    <w:rsid w:val="006C29DA"/>
    <w:rsid w:val="006D2289"/>
    <w:rsid w:val="006F03F9"/>
    <w:rsid w:val="00715EFD"/>
    <w:rsid w:val="00721F4C"/>
    <w:rsid w:val="00732A89"/>
    <w:rsid w:val="00746B47"/>
    <w:rsid w:val="00777DE3"/>
    <w:rsid w:val="00796602"/>
    <w:rsid w:val="007A120A"/>
    <w:rsid w:val="007C48C1"/>
    <w:rsid w:val="00831821"/>
    <w:rsid w:val="008769EC"/>
    <w:rsid w:val="00877917"/>
    <w:rsid w:val="00883449"/>
    <w:rsid w:val="008959D9"/>
    <w:rsid w:val="008B26CB"/>
    <w:rsid w:val="0091051E"/>
    <w:rsid w:val="00927DA1"/>
    <w:rsid w:val="009A20E4"/>
    <w:rsid w:val="009A4DCD"/>
    <w:rsid w:val="009C1004"/>
    <w:rsid w:val="009D4488"/>
    <w:rsid w:val="009D4F1C"/>
    <w:rsid w:val="00A00C3A"/>
    <w:rsid w:val="00A06DBD"/>
    <w:rsid w:val="00A5723E"/>
    <w:rsid w:val="00A87E25"/>
    <w:rsid w:val="00AA2C84"/>
    <w:rsid w:val="00AB4D8A"/>
    <w:rsid w:val="00AB7C51"/>
    <w:rsid w:val="00AC636B"/>
    <w:rsid w:val="00AD7751"/>
    <w:rsid w:val="00B10A67"/>
    <w:rsid w:val="00BA4680"/>
    <w:rsid w:val="00BC7F64"/>
    <w:rsid w:val="00C2571D"/>
    <w:rsid w:val="00C467AB"/>
    <w:rsid w:val="00CD0601"/>
    <w:rsid w:val="00CD595A"/>
    <w:rsid w:val="00D04612"/>
    <w:rsid w:val="00D61C7A"/>
    <w:rsid w:val="00D72554"/>
    <w:rsid w:val="00D75FF9"/>
    <w:rsid w:val="00D771D1"/>
    <w:rsid w:val="00DB13B8"/>
    <w:rsid w:val="00DB66AF"/>
    <w:rsid w:val="00DF0384"/>
    <w:rsid w:val="00E06B5D"/>
    <w:rsid w:val="00E1637C"/>
    <w:rsid w:val="00E179F1"/>
    <w:rsid w:val="00E27362"/>
    <w:rsid w:val="00E479B2"/>
    <w:rsid w:val="00EC05E8"/>
    <w:rsid w:val="00EC0E69"/>
    <w:rsid w:val="00F20831"/>
    <w:rsid w:val="00F455E4"/>
    <w:rsid w:val="00F51CE0"/>
    <w:rsid w:val="00F84309"/>
    <w:rsid w:val="00FB6A8E"/>
    <w:rsid w:val="00FC266B"/>
    <w:rsid w:val="00FF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BBB2"/>
  <w15:docId w15:val="{94181E34-DE17-4618-B33E-C44BD629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736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A468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91439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86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1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68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9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2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44397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5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00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2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33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53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stoppain.org/wp-admin/admin-ajax.php?ref_id=17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stoppain.org/sections/?p=14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1535</Words>
  <Characters>8893</Characters>
  <Application>Microsoft Office Word</Application>
  <DocSecurity>0</DocSecurity>
  <Lines>222</Lines>
  <Paragraphs>103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UZ Leuven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Michiels</dc:creator>
  <cp:keywords/>
  <dc:description/>
  <cp:lastModifiedBy>Crossword</cp:lastModifiedBy>
  <cp:revision>57</cp:revision>
  <dcterms:created xsi:type="dcterms:W3CDTF">2018-11-07T17:10:00Z</dcterms:created>
  <dcterms:modified xsi:type="dcterms:W3CDTF">2018-11-14T18:05:00Z</dcterms:modified>
</cp:coreProperties>
</file>